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BA88D" w14:textId="77777777" w:rsidR="006C356F" w:rsidRPr="006C356F" w:rsidRDefault="006C356F" w:rsidP="006C356F">
      <w:r w:rsidRPr="006C356F">
        <w:t>Leistungskurs, Qualifikationsphase 1, Unterrichtsvorhaben II</w:t>
      </w:r>
    </w:p>
    <w:p w14:paraId="7E5E0023" w14:textId="77777777" w:rsidR="006C356F" w:rsidRPr="006C356F" w:rsidRDefault="006C356F" w:rsidP="006C356F">
      <w:r w:rsidRPr="006C356F">
        <w:rPr>
          <w:b/>
          <w:bCs/>
        </w:rPr>
        <w:t>Vorhabenbezogene Konkretisierung:</w:t>
      </w:r>
    </w:p>
    <w:p w14:paraId="77383386" w14:textId="5216DD07" w:rsidR="006C356F" w:rsidRPr="006C356F" w:rsidRDefault="006C356F" w:rsidP="00EF4FB0">
      <w:pPr>
        <w:pStyle w:val="Listenabsatz"/>
        <w:numPr>
          <w:ilvl w:val="0"/>
          <w:numId w:val="15"/>
        </w:numPr>
      </w:pPr>
      <w:r w:rsidRPr="00EF4FB0">
        <w:rPr>
          <w:b/>
          <w:bCs/>
        </w:rPr>
        <w:t>Unterrichtsreihe:</w:t>
      </w:r>
      <w:r w:rsidRPr="006C356F">
        <w:t> Markt- und exportorientiertes Agrobusiness durch landwirtschaftliche Diversifizierung und Spezialisierung in einem Trockenraum – Ein zukunftsorientierter Lösungsansatz?</w:t>
      </w:r>
    </w:p>
    <w:tbl>
      <w:tblPr>
        <w:tblStyle w:val="Tabellenraster"/>
        <w:tblW w:w="14596" w:type="dxa"/>
        <w:tblLayout w:type="fixed"/>
        <w:tblLook w:val="04A0" w:firstRow="1" w:lastRow="0" w:firstColumn="1" w:lastColumn="0" w:noHBand="0" w:noVBand="1"/>
      </w:tblPr>
      <w:tblGrid>
        <w:gridCol w:w="3649"/>
        <w:gridCol w:w="3649"/>
        <w:gridCol w:w="3649"/>
        <w:gridCol w:w="3649"/>
      </w:tblGrid>
      <w:tr w:rsidR="007D624B" w14:paraId="4AC30B10" w14:textId="77777777" w:rsidTr="007D624B">
        <w:tc>
          <w:tcPr>
            <w:tcW w:w="3649" w:type="dxa"/>
          </w:tcPr>
          <w:p w14:paraId="09621CC4" w14:textId="55C21D4A" w:rsidR="007D624B" w:rsidRDefault="007D624B" w:rsidP="007D624B">
            <w:pPr>
              <w:jc w:val="center"/>
            </w:pPr>
            <w:r w:rsidRPr="00994897">
              <w:rPr>
                <w:rFonts w:ascii="Helvetica" w:hAnsi="Helvetica" w:cs="Helvetica"/>
                <w:b/>
                <w:bCs/>
                <w:color w:val="333333"/>
              </w:rPr>
              <w:t>Unterrichtssequenzen</w:t>
            </w:r>
          </w:p>
        </w:tc>
        <w:tc>
          <w:tcPr>
            <w:tcW w:w="3649" w:type="dxa"/>
          </w:tcPr>
          <w:p w14:paraId="3061277C" w14:textId="77777777" w:rsidR="007D624B" w:rsidRPr="007D624B" w:rsidRDefault="007D624B" w:rsidP="007D624B">
            <w:pPr>
              <w:jc w:val="center"/>
            </w:pPr>
            <w:r w:rsidRPr="007D624B">
              <w:rPr>
                <w:b/>
                <w:bCs/>
              </w:rPr>
              <w:t>Zu entwickelnde Kompetenzen</w:t>
            </w:r>
          </w:p>
          <w:p w14:paraId="13F63B03" w14:textId="77777777" w:rsidR="007D624B" w:rsidRDefault="007D624B" w:rsidP="007D624B">
            <w:pPr>
              <w:jc w:val="center"/>
            </w:pPr>
          </w:p>
        </w:tc>
        <w:tc>
          <w:tcPr>
            <w:tcW w:w="3649" w:type="dxa"/>
          </w:tcPr>
          <w:p w14:paraId="4FA05AE9" w14:textId="77777777" w:rsidR="007D624B" w:rsidRPr="007D624B" w:rsidRDefault="007D624B" w:rsidP="007D624B">
            <w:pPr>
              <w:jc w:val="center"/>
            </w:pPr>
            <w:r w:rsidRPr="007D624B">
              <w:rPr>
                <w:b/>
                <w:bCs/>
              </w:rPr>
              <w:t>Vorhabenbezogene Absprachen/ Vereinbarungen/ Vorschläge zu Internetrecherche</w:t>
            </w:r>
          </w:p>
          <w:p w14:paraId="68429138" w14:textId="77777777" w:rsidR="007D624B" w:rsidRDefault="007D624B" w:rsidP="007D624B">
            <w:pPr>
              <w:jc w:val="center"/>
            </w:pPr>
          </w:p>
        </w:tc>
        <w:tc>
          <w:tcPr>
            <w:tcW w:w="3649" w:type="dxa"/>
          </w:tcPr>
          <w:p w14:paraId="5CC9F4D9" w14:textId="76F4BC98" w:rsidR="007D624B" w:rsidRDefault="007D624B" w:rsidP="007D624B">
            <w:pPr>
              <w:jc w:val="center"/>
            </w:pPr>
            <w:r w:rsidRPr="007D624B">
              <w:rPr>
                <w:b/>
                <w:bCs/>
              </w:rPr>
              <w:t>Materialien</w:t>
            </w:r>
          </w:p>
        </w:tc>
      </w:tr>
      <w:tr w:rsidR="007D624B" w14:paraId="738103C2" w14:textId="77777777" w:rsidTr="007D624B">
        <w:tc>
          <w:tcPr>
            <w:tcW w:w="3649" w:type="dxa"/>
          </w:tcPr>
          <w:p w14:paraId="7E053435" w14:textId="77777777" w:rsidR="006C356F" w:rsidRDefault="006C356F" w:rsidP="006C356F">
            <w:pPr>
              <w:numPr>
                <w:ilvl w:val="0"/>
                <w:numId w:val="6"/>
              </w:numPr>
              <w:rPr>
                <w:rFonts w:ascii="Helvetica" w:hAnsi="Helvetica" w:cs="Helvetica"/>
                <w:color w:val="333333"/>
              </w:rPr>
            </w:pPr>
            <w:r w:rsidRPr="006C356F">
              <w:rPr>
                <w:rFonts w:ascii="Helvetica" w:hAnsi="Helvetica" w:cs="Helvetica"/>
                <w:color w:val="333333"/>
              </w:rPr>
              <w:t>Wirtschaften jenseits der agronomischen Trockengrenze?! – Methoden und Folgen der verschiedener Bewässerungs-techniken als grundlegende Voraussetzung für eine agrarindustrielle Nutzung eines Trockenraumes</w:t>
            </w:r>
          </w:p>
          <w:p w14:paraId="0833D175" w14:textId="77777777" w:rsidR="006C356F" w:rsidRPr="006C356F" w:rsidRDefault="006C356F" w:rsidP="006C356F">
            <w:pPr>
              <w:ind w:left="360"/>
              <w:rPr>
                <w:rFonts w:ascii="Helvetica" w:hAnsi="Helvetica" w:cs="Helvetica"/>
                <w:color w:val="333333"/>
              </w:rPr>
            </w:pPr>
          </w:p>
          <w:p w14:paraId="28B0D6CF" w14:textId="77777777" w:rsidR="006C356F" w:rsidRDefault="006C356F" w:rsidP="006C356F">
            <w:pPr>
              <w:numPr>
                <w:ilvl w:val="0"/>
                <w:numId w:val="6"/>
              </w:numPr>
              <w:rPr>
                <w:rFonts w:ascii="Helvetica" w:hAnsi="Helvetica" w:cs="Helvetica"/>
                <w:color w:val="333333"/>
              </w:rPr>
            </w:pPr>
            <w:r w:rsidRPr="006C356F">
              <w:rPr>
                <w:rFonts w:ascii="Helvetica" w:hAnsi="Helvetica" w:cs="Helvetica"/>
                <w:color w:val="333333"/>
              </w:rPr>
              <w:t>Variatio delectat: Kalifornien als „Fruchtgarten Amerikas“ – Diversifizierungs-, Spezialisierungs- und Intensivierungsprozesse im Bereich der agrarischen Nutzungsstrukturen im kalifornischen Längstal</w:t>
            </w:r>
          </w:p>
          <w:p w14:paraId="10AD10B9" w14:textId="77777777" w:rsidR="006C356F" w:rsidRPr="006C356F" w:rsidRDefault="006C356F" w:rsidP="006C356F">
            <w:pPr>
              <w:rPr>
                <w:rFonts w:ascii="Helvetica" w:hAnsi="Helvetica" w:cs="Helvetica"/>
                <w:color w:val="333333"/>
              </w:rPr>
            </w:pPr>
          </w:p>
          <w:p w14:paraId="232D78ED" w14:textId="77777777" w:rsidR="006C356F" w:rsidRPr="006C356F" w:rsidRDefault="006C356F" w:rsidP="006C356F">
            <w:pPr>
              <w:numPr>
                <w:ilvl w:val="0"/>
                <w:numId w:val="6"/>
              </w:numPr>
              <w:rPr>
                <w:rFonts w:ascii="Helvetica" w:hAnsi="Helvetica" w:cs="Helvetica"/>
                <w:color w:val="333333"/>
              </w:rPr>
            </w:pPr>
            <w:r w:rsidRPr="006C356F">
              <w:rPr>
                <w:rFonts w:ascii="Helvetica" w:hAnsi="Helvetica" w:cs="Helvetica"/>
                <w:color w:val="333333"/>
              </w:rPr>
              <w:t xml:space="preserve">„In Kalifornien daheim, in der Welt zuhause“: Vom lokalen Feld auf den globalen Markt – Analyse der Vermarktungswege ausgewählter Agrarprodukte zur Beurteilungen der Chancen </w:t>
            </w:r>
            <w:r w:rsidRPr="006C356F">
              <w:rPr>
                <w:rFonts w:ascii="Helvetica" w:hAnsi="Helvetica" w:cs="Helvetica"/>
                <w:color w:val="333333"/>
              </w:rPr>
              <w:lastRenderedPageBreak/>
              <w:t>und Risiken einer markt- und exportorientierten Landwirtschaft in Zeiten zunehmender globaler Verflechtung</w:t>
            </w:r>
          </w:p>
          <w:p w14:paraId="378C43AC" w14:textId="12EA7C7F" w:rsidR="007D624B" w:rsidRDefault="007D624B" w:rsidP="007D624B"/>
        </w:tc>
        <w:tc>
          <w:tcPr>
            <w:tcW w:w="3649" w:type="dxa"/>
          </w:tcPr>
          <w:p w14:paraId="6AB93C68" w14:textId="77777777" w:rsidR="007D624B" w:rsidRDefault="007D624B" w:rsidP="007D624B">
            <w:r w:rsidRPr="007D624B">
              <w:rPr>
                <w:u w:val="single"/>
              </w:rPr>
              <w:lastRenderedPageBreak/>
              <w:t>Konkretisierte Sachkompetenz:</w:t>
            </w:r>
            <w:r w:rsidRPr="007D624B">
              <w:t> </w:t>
            </w:r>
          </w:p>
          <w:p w14:paraId="7FADE682" w14:textId="77777777" w:rsidR="007D624B" w:rsidRDefault="007D624B" w:rsidP="007D624B"/>
          <w:p w14:paraId="77EA1939" w14:textId="1A347D57" w:rsidR="007D624B" w:rsidRDefault="007D624B" w:rsidP="007D624B">
            <w:r w:rsidRPr="007D624B">
              <w:t>Die Studierenden können</w:t>
            </w:r>
          </w:p>
          <w:p w14:paraId="05E802AD" w14:textId="77777777" w:rsidR="007D624B" w:rsidRPr="007D624B" w:rsidRDefault="007D624B" w:rsidP="007D624B"/>
          <w:p w14:paraId="4286556A" w14:textId="77777777" w:rsidR="00EF4FB0" w:rsidRDefault="00EF4FB0" w:rsidP="00EF4FB0">
            <w:pPr>
              <w:numPr>
                <w:ilvl w:val="0"/>
                <w:numId w:val="6"/>
              </w:numPr>
              <w:rPr>
                <w:rFonts w:ascii="Helvetica" w:hAnsi="Helvetica" w:cs="Helvetica"/>
                <w:color w:val="333333"/>
              </w:rPr>
            </w:pPr>
            <w:r w:rsidRPr="00EF4FB0">
              <w:rPr>
                <w:rFonts w:ascii="Helvetica" w:hAnsi="Helvetica" w:cs="Helvetica"/>
                <w:color w:val="333333"/>
              </w:rPr>
              <w:t>Kennzeichen des landwirtschaftlichen Strukturwandels wie Mechanisierung, Intensivierung und Spezialisierung mit sich verändernden ökonomischen und technischen Rahmenbedingungen sowie Konsumgewohnheiten erklären,</w:t>
            </w:r>
          </w:p>
          <w:p w14:paraId="5E4AD261" w14:textId="77777777" w:rsidR="00EF4FB0" w:rsidRPr="00EF4FB0" w:rsidRDefault="00EF4FB0" w:rsidP="00EF4FB0">
            <w:pPr>
              <w:ind w:left="360"/>
              <w:rPr>
                <w:rFonts w:ascii="Helvetica" w:hAnsi="Helvetica" w:cs="Helvetica"/>
                <w:color w:val="333333"/>
              </w:rPr>
            </w:pPr>
          </w:p>
          <w:p w14:paraId="0817C0CB" w14:textId="0135BCBF" w:rsidR="00EF4FB0" w:rsidRDefault="00EF4FB0" w:rsidP="00EF4FB0">
            <w:pPr>
              <w:numPr>
                <w:ilvl w:val="0"/>
                <w:numId w:val="6"/>
              </w:numPr>
              <w:rPr>
                <w:rFonts w:ascii="Helvetica" w:hAnsi="Helvetica" w:cs="Helvetica"/>
                <w:color w:val="333333"/>
              </w:rPr>
            </w:pPr>
            <w:r w:rsidRPr="00EF4FB0">
              <w:rPr>
                <w:rFonts w:ascii="Helvetica" w:hAnsi="Helvetica" w:cs="Helvetica"/>
                <w:color w:val="333333"/>
              </w:rPr>
              <w:t>vor dem Hintergrund der Begrenztheit agrarischer Anbauflächen und dem steigenden Bedarf an Agrargütern zunehmende Nutzungskonkurrenzen darstellen,</w:t>
            </w:r>
          </w:p>
          <w:p w14:paraId="680B2AA5" w14:textId="77777777" w:rsidR="00EF4FB0" w:rsidRDefault="00EF4FB0" w:rsidP="00EF4FB0">
            <w:pPr>
              <w:pStyle w:val="Listenabsatz"/>
              <w:rPr>
                <w:rFonts w:ascii="Helvetica" w:hAnsi="Helvetica" w:cs="Helvetica"/>
                <w:color w:val="333333"/>
              </w:rPr>
            </w:pPr>
          </w:p>
          <w:p w14:paraId="3F13720D" w14:textId="77777777" w:rsidR="00EF4FB0" w:rsidRDefault="00EF4FB0" w:rsidP="00EF4FB0">
            <w:pPr>
              <w:ind w:left="360"/>
              <w:rPr>
                <w:rFonts w:ascii="Helvetica" w:hAnsi="Helvetica" w:cs="Helvetica"/>
                <w:color w:val="333333"/>
              </w:rPr>
            </w:pPr>
          </w:p>
          <w:p w14:paraId="0D331F6B" w14:textId="77777777" w:rsidR="00EF4FB0" w:rsidRDefault="00EF4FB0" w:rsidP="00EF4FB0">
            <w:pPr>
              <w:numPr>
                <w:ilvl w:val="0"/>
                <w:numId w:val="6"/>
              </w:numPr>
              <w:rPr>
                <w:rFonts w:ascii="Helvetica" w:hAnsi="Helvetica" w:cs="Helvetica"/>
                <w:color w:val="333333"/>
              </w:rPr>
            </w:pPr>
            <w:r w:rsidRPr="00EF4FB0">
              <w:rPr>
                <w:rFonts w:ascii="Helvetica" w:hAnsi="Helvetica" w:cs="Helvetica"/>
                <w:color w:val="333333"/>
              </w:rPr>
              <w:lastRenderedPageBreak/>
              <w:t>sozioökonomische Disparitäten innerhalb und zwischen Ländern vor dem Hintergrund einer ungleichen Verteilung von Ressourcen und Infrastruktur sowie der politischen Verhältnisse erläutern,</w:t>
            </w:r>
          </w:p>
          <w:p w14:paraId="77049F08" w14:textId="77777777" w:rsidR="00EF4FB0" w:rsidRPr="00EF4FB0" w:rsidRDefault="00EF4FB0" w:rsidP="00EF4FB0">
            <w:pPr>
              <w:ind w:left="360"/>
              <w:rPr>
                <w:rFonts w:ascii="Helvetica" w:hAnsi="Helvetica" w:cs="Helvetica"/>
                <w:color w:val="333333"/>
              </w:rPr>
            </w:pPr>
          </w:p>
          <w:p w14:paraId="7D490DE1" w14:textId="77777777" w:rsidR="00EF4FB0" w:rsidRDefault="00EF4FB0" w:rsidP="00EF4FB0">
            <w:pPr>
              <w:numPr>
                <w:ilvl w:val="0"/>
                <w:numId w:val="6"/>
              </w:numPr>
              <w:rPr>
                <w:rFonts w:ascii="Helvetica" w:hAnsi="Helvetica" w:cs="Helvetica"/>
                <w:color w:val="333333"/>
              </w:rPr>
            </w:pPr>
            <w:r w:rsidRPr="00EF4FB0">
              <w:rPr>
                <w:rFonts w:ascii="Helvetica" w:hAnsi="Helvetica" w:cs="Helvetica"/>
                <w:color w:val="333333"/>
              </w:rPr>
              <w:t>sozioökonomische und räumliche Auswirkungen internationaler Migration auf Herkunfts- und Zielgebiete erläutern,</w:t>
            </w:r>
          </w:p>
          <w:p w14:paraId="3437A88A" w14:textId="77777777" w:rsidR="00EF4FB0" w:rsidRDefault="00EF4FB0" w:rsidP="00EF4FB0">
            <w:pPr>
              <w:pStyle w:val="Listenabsatz"/>
              <w:rPr>
                <w:rFonts w:ascii="Helvetica" w:hAnsi="Helvetica" w:cs="Helvetica"/>
                <w:color w:val="333333"/>
              </w:rPr>
            </w:pPr>
          </w:p>
          <w:p w14:paraId="0698EFE4" w14:textId="77777777" w:rsidR="00EF4FB0" w:rsidRPr="00EF4FB0" w:rsidRDefault="00EF4FB0" w:rsidP="00EF4FB0">
            <w:pPr>
              <w:ind w:left="360"/>
              <w:rPr>
                <w:rFonts w:ascii="Helvetica" w:hAnsi="Helvetica" w:cs="Helvetica"/>
                <w:color w:val="333333"/>
              </w:rPr>
            </w:pPr>
          </w:p>
          <w:p w14:paraId="76A671E9" w14:textId="77777777" w:rsidR="00EF4FB0" w:rsidRDefault="00EF4FB0" w:rsidP="00EF4FB0">
            <w:pPr>
              <w:numPr>
                <w:ilvl w:val="0"/>
                <w:numId w:val="6"/>
              </w:numPr>
              <w:rPr>
                <w:rFonts w:ascii="Helvetica" w:hAnsi="Helvetica" w:cs="Helvetica"/>
                <w:color w:val="333333"/>
              </w:rPr>
            </w:pPr>
            <w:r w:rsidRPr="00EF4FB0">
              <w:rPr>
                <w:rFonts w:ascii="Helvetica" w:hAnsi="Helvetica" w:cs="Helvetica"/>
                <w:color w:val="333333"/>
              </w:rPr>
              <w:t>unterschiedliche Formen der Bewässerungslandwirtschaft in den Subtropen als Möglichkeiten der Überwindung der klimatischen Trockengrenze darstellen,</w:t>
            </w:r>
          </w:p>
          <w:p w14:paraId="5C78F3E8" w14:textId="77777777" w:rsidR="00EF4FB0" w:rsidRPr="00EF4FB0" w:rsidRDefault="00EF4FB0" w:rsidP="00EF4FB0">
            <w:pPr>
              <w:ind w:left="360"/>
              <w:rPr>
                <w:rFonts w:ascii="Helvetica" w:hAnsi="Helvetica" w:cs="Helvetica"/>
                <w:color w:val="333333"/>
              </w:rPr>
            </w:pPr>
          </w:p>
          <w:p w14:paraId="6A6CFD8A" w14:textId="77777777" w:rsidR="00EF4FB0" w:rsidRPr="00EF4FB0" w:rsidRDefault="00EF4FB0" w:rsidP="00EF4FB0">
            <w:pPr>
              <w:numPr>
                <w:ilvl w:val="0"/>
                <w:numId w:val="6"/>
              </w:numPr>
              <w:rPr>
                <w:rFonts w:ascii="Helvetica" w:hAnsi="Helvetica" w:cs="Helvetica"/>
                <w:color w:val="333333"/>
              </w:rPr>
            </w:pPr>
            <w:r w:rsidRPr="00EF4FB0">
              <w:rPr>
                <w:rFonts w:ascii="Helvetica" w:hAnsi="Helvetica" w:cs="Helvetica"/>
                <w:color w:val="333333"/>
              </w:rPr>
              <w:t>Bodenversalzung und Bodendegradierung als Folgen einer unangepassten landwirtschaftlichen Nutzung darstellen.</w:t>
            </w:r>
          </w:p>
          <w:p w14:paraId="0BD7E142" w14:textId="77777777" w:rsidR="007D624B" w:rsidRDefault="007D624B" w:rsidP="007D624B">
            <w:pPr>
              <w:rPr>
                <w:u w:val="single"/>
              </w:rPr>
            </w:pPr>
          </w:p>
          <w:p w14:paraId="5A67EBA8" w14:textId="77777777" w:rsidR="007D624B" w:rsidRDefault="007D624B" w:rsidP="007D624B">
            <w:r w:rsidRPr="007D624B">
              <w:rPr>
                <w:u w:val="single"/>
              </w:rPr>
              <w:t>Konkretisierte Urteilskompetenz:</w:t>
            </w:r>
            <w:r w:rsidRPr="007D624B">
              <w:t> </w:t>
            </w:r>
          </w:p>
          <w:p w14:paraId="5C40394E" w14:textId="77777777" w:rsidR="007D624B" w:rsidRDefault="007D624B" w:rsidP="007D624B"/>
          <w:p w14:paraId="6BEF523A" w14:textId="73E95B7E" w:rsidR="007D624B" w:rsidRDefault="007D624B" w:rsidP="007D624B">
            <w:r w:rsidRPr="007D624B">
              <w:t>Die Studierenden können</w:t>
            </w:r>
          </w:p>
          <w:p w14:paraId="7AC9E72D" w14:textId="77777777" w:rsidR="007D624B" w:rsidRPr="007D624B" w:rsidRDefault="007D624B" w:rsidP="007D624B"/>
          <w:p w14:paraId="7EFA287D" w14:textId="77777777" w:rsidR="00EF4FB0" w:rsidRPr="00EF4FB0" w:rsidRDefault="00EF4FB0" w:rsidP="00EF4FB0">
            <w:pPr>
              <w:numPr>
                <w:ilvl w:val="0"/>
                <w:numId w:val="6"/>
              </w:numPr>
              <w:shd w:val="clear" w:color="auto" w:fill="FFFFFF"/>
              <w:spacing w:before="100" w:beforeAutospacing="1" w:after="150"/>
              <w:rPr>
                <w:rFonts w:ascii="Helvetica" w:eastAsia="Times New Roman" w:hAnsi="Helvetica" w:cs="Helvetica"/>
                <w:color w:val="333333"/>
                <w:lang w:eastAsia="de-DE"/>
              </w:rPr>
            </w:pPr>
            <w:r w:rsidRPr="00EF4FB0">
              <w:rPr>
                <w:rFonts w:ascii="Helvetica" w:eastAsia="Times New Roman" w:hAnsi="Helvetica" w:cs="Helvetica"/>
                <w:color w:val="333333"/>
                <w:lang w:eastAsia="de-DE"/>
              </w:rPr>
              <w:lastRenderedPageBreak/>
              <w:t xml:space="preserve">Auswirkungen des </w:t>
            </w:r>
            <w:proofErr w:type="spellStart"/>
            <w:r w:rsidRPr="00EF4FB0">
              <w:rPr>
                <w:rFonts w:ascii="Helvetica" w:eastAsia="Times New Roman" w:hAnsi="Helvetica" w:cs="Helvetica"/>
                <w:color w:val="333333"/>
                <w:lang w:eastAsia="de-DE"/>
              </w:rPr>
              <w:t>agraren</w:t>
            </w:r>
            <w:proofErr w:type="spellEnd"/>
            <w:r w:rsidRPr="00EF4FB0">
              <w:rPr>
                <w:rFonts w:ascii="Helvetica" w:eastAsia="Times New Roman" w:hAnsi="Helvetica" w:cs="Helvetica"/>
                <w:color w:val="333333"/>
                <w:lang w:eastAsia="de-DE"/>
              </w:rPr>
              <w:t xml:space="preserve"> Strukturwandels mit dem Schwerpunkt der Beschäftigungswirksamkeit bewerten,</w:t>
            </w:r>
          </w:p>
          <w:p w14:paraId="5DF035E6" w14:textId="77777777" w:rsidR="00EF4FB0" w:rsidRPr="00EF4FB0" w:rsidRDefault="00EF4FB0" w:rsidP="00EF4FB0">
            <w:pPr>
              <w:numPr>
                <w:ilvl w:val="0"/>
                <w:numId w:val="6"/>
              </w:numPr>
              <w:shd w:val="clear" w:color="auto" w:fill="FFFFFF"/>
              <w:spacing w:before="100" w:beforeAutospacing="1" w:after="150"/>
              <w:rPr>
                <w:rFonts w:ascii="Helvetica" w:eastAsia="Times New Roman" w:hAnsi="Helvetica" w:cs="Helvetica"/>
                <w:color w:val="333333"/>
                <w:lang w:eastAsia="de-DE"/>
              </w:rPr>
            </w:pPr>
            <w:r w:rsidRPr="00EF4FB0">
              <w:rPr>
                <w:rFonts w:ascii="Helvetica" w:eastAsia="Times New Roman" w:hAnsi="Helvetica" w:cs="Helvetica"/>
                <w:color w:val="333333"/>
                <w:lang w:eastAsia="de-DE"/>
              </w:rPr>
              <w:t>das Spannungsfeld von Intensivierung der landwirtschaftlichen Produktion und Notwendigkeit zur Versorgungssicherung erörtern,</w:t>
            </w:r>
          </w:p>
          <w:p w14:paraId="6350A75F" w14:textId="77777777" w:rsidR="00EF4FB0" w:rsidRPr="00EF4FB0" w:rsidRDefault="00EF4FB0" w:rsidP="00EF4FB0">
            <w:pPr>
              <w:numPr>
                <w:ilvl w:val="0"/>
                <w:numId w:val="6"/>
              </w:numPr>
              <w:shd w:val="clear" w:color="auto" w:fill="FFFFFF"/>
              <w:spacing w:before="100" w:beforeAutospacing="1" w:after="150"/>
              <w:rPr>
                <w:rFonts w:ascii="Helvetica" w:eastAsia="Times New Roman" w:hAnsi="Helvetica" w:cs="Helvetica"/>
                <w:color w:val="333333"/>
                <w:lang w:eastAsia="de-DE"/>
              </w:rPr>
            </w:pPr>
            <w:r w:rsidRPr="00EF4FB0">
              <w:rPr>
                <w:rFonts w:ascii="Helvetica" w:eastAsia="Times New Roman" w:hAnsi="Helvetica" w:cs="Helvetica"/>
                <w:color w:val="333333"/>
                <w:lang w:eastAsia="de-DE"/>
              </w:rPr>
              <w:t>Maßnahmen zur Verringerung von Bodendegradation und Desertifikation hinsichtlich ökonomischer, ökologischer und sozialer Aspekte bewerten,</w:t>
            </w:r>
          </w:p>
          <w:p w14:paraId="2831DA27" w14:textId="77777777" w:rsidR="00EF4FB0" w:rsidRPr="00EF4FB0" w:rsidRDefault="00EF4FB0" w:rsidP="00EF4FB0">
            <w:pPr>
              <w:numPr>
                <w:ilvl w:val="0"/>
                <w:numId w:val="6"/>
              </w:numPr>
              <w:shd w:val="clear" w:color="auto" w:fill="FFFFFF"/>
              <w:spacing w:before="100" w:beforeAutospacing="1" w:after="150"/>
              <w:rPr>
                <w:rFonts w:ascii="Helvetica" w:eastAsia="Times New Roman" w:hAnsi="Helvetica" w:cs="Helvetica"/>
                <w:color w:val="333333"/>
                <w:lang w:eastAsia="de-DE"/>
              </w:rPr>
            </w:pPr>
            <w:r w:rsidRPr="00EF4FB0">
              <w:rPr>
                <w:rFonts w:ascii="Helvetica" w:eastAsia="Times New Roman" w:hAnsi="Helvetica" w:cs="Helvetica"/>
                <w:color w:val="333333"/>
                <w:lang w:eastAsia="de-DE"/>
              </w:rPr>
              <w:t>den Zielkonflikt zwischen der steigenden Nachfrage nach Agrargütern einer wachsenden Weltbevölkerung und den Erfordernissen nachhaltigen Wirtschaftens erörtern,</w:t>
            </w:r>
          </w:p>
          <w:p w14:paraId="1B8AE090" w14:textId="77777777" w:rsidR="00EF4FB0" w:rsidRPr="00EF4FB0" w:rsidRDefault="00EF4FB0" w:rsidP="00EF4FB0">
            <w:pPr>
              <w:numPr>
                <w:ilvl w:val="0"/>
                <w:numId w:val="6"/>
              </w:numPr>
              <w:shd w:val="clear" w:color="auto" w:fill="FFFFFF"/>
              <w:spacing w:before="100" w:beforeAutospacing="1" w:after="150"/>
              <w:rPr>
                <w:rFonts w:ascii="Helvetica" w:eastAsia="Times New Roman" w:hAnsi="Helvetica" w:cs="Helvetica"/>
                <w:color w:val="333333"/>
                <w:lang w:eastAsia="de-DE"/>
              </w:rPr>
            </w:pPr>
            <w:r w:rsidRPr="00EF4FB0">
              <w:rPr>
                <w:rFonts w:ascii="Helvetica" w:eastAsia="Times New Roman" w:hAnsi="Helvetica" w:cs="Helvetica"/>
                <w:color w:val="333333"/>
                <w:lang w:eastAsia="de-DE"/>
              </w:rPr>
              <w:t>selbstkritisch ihre Rolle als Verbraucherinnen und Verbraucher hinsichtlich der ökologischen, ökonomischen und sozialen Folgen des eigenen Konsumverhaltens selbstkritisch bewerten.</w:t>
            </w:r>
          </w:p>
          <w:p w14:paraId="1B0CF5AD" w14:textId="71674CCF" w:rsidR="007D624B" w:rsidRPr="00EF4FB0" w:rsidRDefault="00EF4FB0" w:rsidP="00EF4FB0">
            <w:pPr>
              <w:numPr>
                <w:ilvl w:val="0"/>
                <w:numId w:val="6"/>
              </w:numPr>
              <w:shd w:val="clear" w:color="auto" w:fill="FFFFFF"/>
              <w:spacing w:before="100" w:beforeAutospacing="1" w:after="150"/>
              <w:rPr>
                <w:rFonts w:ascii="Helvetica" w:eastAsia="Times New Roman" w:hAnsi="Helvetica" w:cs="Helvetica"/>
                <w:color w:val="333333"/>
                <w:lang w:eastAsia="de-DE"/>
              </w:rPr>
            </w:pPr>
            <w:r w:rsidRPr="00EF4FB0">
              <w:rPr>
                <w:rFonts w:ascii="Helvetica" w:eastAsia="Times New Roman" w:hAnsi="Helvetica" w:cs="Helvetica"/>
                <w:color w:val="333333"/>
                <w:lang w:eastAsia="de-DE"/>
              </w:rPr>
              <w:t xml:space="preserve">Entwicklungschancen und Entwicklungsrisiken beurteilen, </w:t>
            </w:r>
            <w:r w:rsidRPr="00EF4FB0">
              <w:rPr>
                <w:rFonts w:ascii="Helvetica" w:eastAsia="Times New Roman" w:hAnsi="Helvetica" w:cs="Helvetica"/>
                <w:color w:val="333333"/>
                <w:lang w:eastAsia="de-DE"/>
              </w:rPr>
              <w:lastRenderedPageBreak/>
              <w:t>die sich in unterschiedlich geprägten Wirtschafts-regionen aus dem Prozess der Globalisierung ergeben</w:t>
            </w:r>
            <w:r>
              <w:rPr>
                <w:rFonts w:ascii="Helvetica" w:eastAsia="Times New Roman" w:hAnsi="Helvetica" w:cs="Helvetica"/>
                <w:color w:val="333333"/>
                <w:lang w:eastAsia="de-DE"/>
              </w:rPr>
              <w:t>.</w:t>
            </w:r>
          </w:p>
        </w:tc>
        <w:tc>
          <w:tcPr>
            <w:tcW w:w="3649" w:type="dxa"/>
          </w:tcPr>
          <w:p w14:paraId="0222CD8A" w14:textId="77777777" w:rsidR="00EF4FB0" w:rsidRDefault="00EF4FB0" w:rsidP="00EF4FB0">
            <w:pPr>
              <w:numPr>
                <w:ilvl w:val="0"/>
                <w:numId w:val="6"/>
              </w:numPr>
              <w:rPr>
                <w:rFonts w:ascii="Helvetica" w:hAnsi="Helvetica" w:cs="Helvetica"/>
                <w:color w:val="333333"/>
              </w:rPr>
            </w:pPr>
            <w:r w:rsidRPr="00EF4FB0">
              <w:rPr>
                <w:rFonts w:ascii="Helvetica" w:hAnsi="Helvetica" w:cs="Helvetica"/>
                <w:color w:val="333333"/>
              </w:rPr>
              <w:lastRenderedPageBreak/>
              <w:t>Erarbeitung grundlegender bisher noch nicht erlangter Fähigkeiten im Umgang mit geographischen Hilfsmitteln</w:t>
            </w:r>
          </w:p>
          <w:p w14:paraId="0EE5DAAC" w14:textId="77777777" w:rsidR="00EF4FB0" w:rsidRPr="00EF4FB0" w:rsidRDefault="00EF4FB0" w:rsidP="00EF4FB0">
            <w:pPr>
              <w:ind w:left="360"/>
              <w:rPr>
                <w:rFonts w:ascii="Helvetica" w:hAnsi="Helvetica" w:cs="Helvetica"/>
                <w:color w:val="333333"/>
              </w:rPr>
            </w:pPr>
          </w:p>
          <w:p w14:paraId="0C33DF2F" w14:textId="77777777" w:rsidR="00EF4FB0" w:rsidRDefault="00EF4FB0" w:rsidP="00EF4FB0">
            <w:pPr>
              <w:numPr>
                <w:ilvl w:val="0"/>
                <w:numId w:val="6"/>
              </w:numPr>
              <w:rPr>
                <w:rFonts w:ascii="Helvetica" w:hAnsi="Helvetica" w:cs="Helvetica"/>
                <w:color w:val="333333"/>
              </w:rPr>
            </w:pPr>
            <w:r w:rsidRPr="00EF4FB0">
              <w:rPr>
                <w:rFonts w:ascii="Helvetica" w:hAnsi="Helvetica" w:cs="Helvetica"/>
                <w:color w:val="333333"/>
              </w:rPr>
              <w:t>fachübergreifende Kooperation mit dem Fach Volkswirtschaft möglich im Bereich der Themen „Export- und Marktorientierung vor dem Spiegel globalisierter Warenströme, „ausländische Direktinvestitionen und kapitalintensive Produktionsstrukturen als Triebfedern einer ökonomisch liberalisierten Welt“ und „Chancen und Gefahren der Globalisierung am Beispiel der Agrarmärkte und der Versorgungssicherheit in Zeiten internationaler Rohstoff- und Börsenspekulationen“</w:t>
            </w:r>
          </w:p>
          <w:p w14:paraId="44A1ACA7" w14:textId="77777777" w:rsidR="00EF4FB0" w:rsidRDefault="00EF4FB0" w:rsidP="00EF4FB0">
            <w:pPr>
              <w:pStyle w:val="Listenabsatz"/>
              <w:rPr>
                <w:rFonts w:ascii="Helvetica" w:hAnsi="Helvetica" w:cs="Helvetica"/>
                <w:color w:val="333333"/>
              </w:rPr>
            </w:pPr>
          </w:p>
          <w:p w14:paraId="3A6EB850" w14:textId="77777777" w:rsidR="00EF4FB0" w:rsidRPr="00EF4FB0" w:rsidRDefault="00EF4FB0" w:rsidP="00EF4FB0">
            <w:pPr>
              <w:ind w:left="360"/>
              <w:rPr>
                <w:rFonts w:ascii="Helvetica" w:hAnsi="Helvetica" w:cs="Helvetica"/>
                <w:color w:val="333333"/>
              </w:rPr>
            </w:pPr>
          </w:p>
          <w:p w14:paraId="3D05BC75" w14:textId="1E348066" w:rsidR="00EF4FB0" w:rsidRPr="00EF4FB0" w:rsidRDefault="00EF4FB0" w:rsidP="00EF4FB0">
            <w:pPr>
              <w:numPr>
                <w:ilvl w:val="0"/>
                <w:numId w:val="6"/>
              </w:numPr>
              <w:rPr>
                <w:rFonts w:ascii="Helvetica" w:hAnsi="Helvetica" w:cs="Helvetica"/>
                <w:color w:val="333333"/>
              </w:rPr>
            </w:pPr>
            <w:r w:rsidRPr="00EF4FB0">
              <w:rPr>
                <w:rFonts w:ascii="Helvetica" w:hAnsi="Helvetica" w:cs="Helvetica"/>
                <w:color w:val="333333"/>
              </w:rPr>
              <w:lastRenderedPageBreak/>
              <w:t>Einbettung des Themas in die augenblickliche Diskussion um die Verhandlungen zum Freihandelsabkommen TTIP</w:t>
            </w:r>
          </w:p>
          <w:p w14:paraId="5AE40B79" w14:textId="77777777" w:rsidR="007D624B" w:rsidRPr="007D624B" w:rsidRDefault="007D624B" w:rsidP="00EF4FB0">
            <w:pPr>
              <w:ind w:left="360"/>
              <w:rPr>
                <w:rFonts w:ascii="Helvetica" w:hAnsi="Helvetica" w:cs="Helvetica"/>
                <w:color w:val="333333"/>
              </w:rPr>
            </w:pPr>
          </w:p>
          <w:p w14:paraId="0060CD2D" w14:textId="77777777" w:rsidR="007D624B" w:rsidRPr="007D624B" w:rsidRDefault="007D624B" w:rsidP="007D624B"/>
          <w:p w14:paraId="5B39BFAB" w14:textId="77777777" w:rsidR="007D624B" w:rsidRDefault="007D624B" w:rsidP="007D624B"/>
        </w:tc>
        <w:tc>
          <w:tcPr>
            <w:tcW w:w="3649" w:type="dxa"/>
          </w:tcPr>
          <w:p w14:paraId="75F71EFB" w14:textId="77777777" w:rsidR="007D624B" w:rsidRPr="007D624B" w:rsidRDefault="007D624B" w:rsidP="007D624B">
            <w:r w:rsidRPr="007D624B">
              <w:lastRenderedPageBreak/>
              <w:t>Karte</w:t>
            </w:r>
          </w:p>
          <w:p w14:paraId="246C7395" w14:textId="77777777" w:rsidR="007D624B" w:rsidRPr="007D624B" w:rsidRDefault="007D624B" w:rsidP="007D624B">
            <w:r w:rsidRPr="007D624B">
              <w:rPr>
                <w:u w:val="single"/>
              </w:rPr>
              <w:t>Querschnitt (Profil)</w:t>
            </w:r>
          </w:p>
          <w:p w14:paraId="6F9AD100" w14:textId="77777777" w:rsidR="007D624B" w:rsidRPr="007D624B" w:rsidRDefault="007D624B" w:rsidP="007D624B">
            <w:r w:rsidRPr="007D624B">
              <w:rPr>
                <w:u w:val="single"/>
              </w:rPr>
              <w:t>Blockbild</w:t>
            </w:r>
          </w:p>
          <w:p w14:paraId="2150DDD8" w14:textId="77777777" w:rsidR="007D624B" w:rsidRPr="007D624B" w:rsidRDefault="007D624B" w:rsidP="007D624B">
            <w:r w:rsidRPr="007D624B">
              <w:t>Diagramm</w:t>
            </w:r>
          </w:p>
          <w:p w14:paraId="365B703A" w14:textId="77777777" w:rsidR="007D624B" w:rsidRPr="007D624B" w:rsidRDefault="007D624B" w:rsidP="007D624B">
            <w:r w:rsidRPr="007D624B">
              <w:t>Tabelle</w:t>
            </w:r>
          </w:p>
          <w:p w14:paraId="6CED22DB" w14:textId="77777777" w:rsidR="007D624B" w:rsidRPr="007D624B" w:rsidRDefault="007D624B" w:rsidP="007D624B">
            <w:r w:rsidRPr="007D624B">
              <w:t>Text</w:t>
            </w:r>
          </w:p>
          <w:p w14:paraId="517AEA72" w14:textId="6F7F0521" w:rsidR="007D624B" w:rsidRDefault="007D624B" w:rsidP="007D624B"/>
        </w:tc>
      </w:tr>
    </w:tbl>
    <w:p w14:paraId="710AD002" w14:textId="77777777" w:rsidR="002566C5" w:rsidRDefault="002566C5"/>
    <w:sectPr w:rsidR="002566C5" w:rsidSect="007D624B">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F009B"/>
    <w:multiLevelType w:val="multilevel"/>
    <w:tmpl w:val="D90A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D64C1"/>
    <w:multiLevelType w:val="multilevel"/>
    <w:tmpl w:val="288A9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6D5903"/>
    <w:multiLevelType w:val="multilevel"/>
    <w:tmpl w:val="20F8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5B6C61"/>
    <w:multiLevelType w:val="multilevel"/>
    <w:tmpl w:val="21229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F22E94"/>
    <w:multiLevelType w:val="multilevel"/>
    <w:tmpl w:val="607CFA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31D200AB"/>
    <w:multiLevelType w:val="multilevel"/>
    <w:tmpl w:val="81FE8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D74B71"/>
    <w:multiLevelType w:val="multilevel"/>
    <w:tmpl w:val="CAC0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04024F"/>
    <w:multiLevelType w:val="multilevel"/>
    <w:tmpl w:val="9E98B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0E58EE"/>
    <w:multiLevelType w:val="multilevel"/>
    <w:tmpl w:val="EB1C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C45B2F"/>
    <w:multiLevelType w:val="multilevel"/>
    <w:tmpl w:val="BECC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7001AC"/>
    <w:multiLevelType w:val="multilevel"/>
    <w:tmpl w:val="8A2AD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8934E9"/>
    <w:multiLevelType w:val="multilevel"/>
    <w:tmpl w:val="227E8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F75526"/>
    <w:multiLevelType w:val="hybridMultilevel"/>
    <w:tmpl w:val="2BEC77D2"/>
    <w:lvl w:ilvl="0" w:tplc="D0E691D6">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7C2A36F3"/>
    <w:multiLevelType w:val="multilevel"/>
    <w:tmpl w:val="B23A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5B0E8B"/>
    <w:multiLevelType w:val="multilevel"/>
    <w:tmpl w:val="15F0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890131">
    <w:abstractNumId w:val="7"/>
  </w:num>
  <w:num w:numId="2" w16cid:durableId="90243359">
    <w:abstractNumId w:val="2"/>
  </w:num>
  <w:num w:numId="3" w16cid:durableId="1732772114">
    <w:abstractNumId w:val="6"/>
  </w:num>
  <w:num w:numId="4" w16cid:durableId="1870559408">
    <w:abstractNumId w:val="3"/>
  </w:num>
  <w:num w:numId="5" w16cid:durableId="176164990">
    <w:abstractNumId w:val="8"/>
  </w:num>
  <w:num w:numId="6" w16cid:durableId="1142040620">
    <w:abstractNumId w:val="4"/>
  </w:num>
  <w:num w:numId="7" w16cid:durableId="2107189608">
    <w:abstractNumId w:val="1"/>
  </w:num>
  <w:num w:numId="8" w16cid:durableId="2100560983">
    <w:abstractNumId w:val="5"/>
  </w:num>
  <w:num w:numId="9" w16cid:durableId="131363260">
    <w:abstractNumId w:val="9"/>
  </w:num>
  <w:num w:numId="10" w16cid:durableId="677777018">
    <w:abstractNumId w:val="14"/>
  </w:num>
  <w:num w:numId="11" w16cid:durableId="1002659819">
    <w:abstractNumId w:val="13"/>
  </w:num>
  <w:num w:numId="12" w16cid:durableId="817455763">
    <w:abstractNumId w:val="0"/>
  </w:num>
  <w:num w:numId="13" w16cid:durableId="1708218916">
    <w:abstractNumId w:val="10"/>
  </w:num>
  <w:num w:numId="14" w16cid:durableId="1949892755">
    <w:abstractNumId w:val="11"/>
  </w:num>
  <w:num w:numId="15" w16cid:durableId="12397040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24B"/>
    <w:rsid w:val="002566C5"/>
    <w:rsid w:val="006C356F"/>
    <w:rsid w:val="007D624B"/>
    <w:rsid w:val="008F443A"/>
    <w:rsid w:val="00A74637"/>
    <w:rsid w:val="00AB2D41"/>
    <w:rsid w:val="00EF4FB0"/>
    <w:rsid w:val="00FF05ED"/>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A3ED5"/>
  <w15:chartTrackingRefBased/>
  <w15:docId w15:val="{1D4441A1-FB8B-414A-94A4-E6BDFC5B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D62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7D62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D624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D624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D624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D624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D624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D624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D624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D624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7D624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D624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D624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D624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D624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D624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D624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D624B"/>
    <w:rPr>
      <w:rFonts w:eastAsiaTheme="majorEastAsia" w:cstheme="majorBidi"/>
      <w:color w:val="272727" w:themeColor="text1" w:themeTint="D8"/>
    </w:rPr>
  </w:style>
  <w:style w:type="paragraph" w:styleId="Titel">
    <w:name w:val="Title"/>
    <w:basedOn w:val="Standard"/>
    <w:next w:val="Standard"/>
    <w:link w:val="TitelZchn"/>
    <w:uiPriority w:val="10"/>
    <w:qFormat/>
    <w:rsid w:val="007D62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D624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D624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D624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D624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D624B"/>
    <w:rPr>
      <w:i/>
      <w:iCs/>
      <w:color w:val="404040" w:themeColor="text1" w:themeTint="BF"/>
    </w:rPr>
  </w:style>
  <w:style w:type="paragraph" w:styleId="Listenabsatz">
    <w:name w:val="List Paragraph"/>
    <w:basedOn w:val="Standard"/>
    <w:uiPriority w:val="34"/>
    <w:qFormat/>
    <w:rsid w:val="007D624B"/>
    <w:pPr>
      <w:ind w:left="720"/>
      <w:contextualSpacing/>
    </w:pPr>
  </w:style>
  <w:style w:type="character" w:styleId="IntensiveHervorhebung">
    <w:name w:val="Intense Emphasis"/>
    <w:basedOn w:val="Absatz-Standardschriftart"/>
    <w:uiPriority w:val="21"/>
    <w:qFormat/>
    <w:rsid w:val="007D624B"/>
    <w:rPr>
      <w:i/>
      <w:iCs/>
      <w:color w:val="0F4761" w:themeColor="accent1" w:themeShade="BF"/>
    </w:rPr>
  </w:style>
  <w:style w:type="paragraph" w:styleId="IntensivesZitat">
    <w:name w:val="Intense Quote"/>
    <w:basedOn w:val="Standard"/>
    <w:next w:val="Standard"/>
    <w:link w:val="IntensivesZitatZchn"/>
    <w:uiPriority w:val="30"/>
    <w:qFormat/>
    <w:rsid w:val="007D62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D624B"/>
    <w:rPr>
      <w:i/>
      <w:iCs/>
      <w:color w:val="0F4761" w:themeColor="accent1" w:themeShade="BF"/>
    </w:rPr>
  </w:style>
  <w:style w:type="character" w:styleId="IntensiverVerweis">
    <w:name w:val="Intense Reference"/>
    <w:basedOn w:val="Absatz-Standardschriftart"/>
    <w:uiPriority w:val="32"/>
    <w:qFormat/>
    <w:rsid w:val="007D624B"/>
    <w:rPr>
      <w:b/>
      <w:bCs/>
      <w:smallCaps/>
      <w:color w:val="0F4761" w:themeColor="accent1" w:themeShade="BF"/>
      <w:spacing w:val="5"/>
    </w:rPr>
  </w:style>
  <w:style w:type="character" w:styleId="Hyperlink">
    <w:name w:val="Hyperlink"/>
    <w:basedOn w:val="Absatz-Standardschriftart"/>
    <w:uiPriority w:val="99"/>
    <w:unhideWhenUsed/>
    <w:rsid w:val="007D624B"/>
    <w:rPr>
      <w:color w:val="467886" w:themeColor="hyperlink"/>
      <w:u w:val="single"/>
    </w:rPr>
  </w:style>
  <w:style w:type="character" w:styleId="NichtaufgelsteErwhnung">
    <w:name w:val="Unresolved Mention"/>
    <w:basedOn w:val="Absatz-Standardschriftart"/>
    <w:uiPriority w:val="99"/>
    <w:semiHidden/>
    <w:unhideWhenUsed/>
    <w:rsid w:val="007D624B"/>
    <w:rPr>
      <w:color w:val="605E5C"/>
      <w:shd w:val="clear" w:color="auto" w:fill="E1DFDD"/>
    </w:rPr>
  </w:style>
  <w:style w:type="table" w:styleId="Tabellenraster">
    <w:name w:val="Table Grid"/>
    <w:basedOn w:val="NormaleTabelle"/>
    <w:uiPriority w:val="39"/>
    <w:rsid w:val="007D6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5741">
      <w:bodyDiv w:val="1"/>
      <w:marLeft w:val="0"/>
      <w:marRight w:val="0"/>
      <w:marTop w:val="0"/>
      <w:marBottom w:val="0"/>
      <w:divBdr>
        <w:top w:val="none" w:sz="0" w:space="0" w:color="auto"/>
        <w:left w:val="none" w:sz="0" w:space="0" w:color="auto"/>
        <w:bottom w:val="none" w:sz="0" w:space="0" w:color="auto"/>
        <w:right w:val="none" w:sz="0" w:space="0" w:color="auto"/>
      </w:divBdr>
    </w:div>
    <w:div w:id="89201665">
      <w:bodyDiv w:val="1"/>
      <w:marLeft w:val="0"/>
      <w:marRight w:val="0"/>
      <w:marTop w:val="0"/>
      <w:marBottom w:val="0"/>
      <w:divBdr>
        <w:top w:val="none" w:sz="0" w:space="0" w:color="auto"/>
        <w:left w:val="none" w:sz="0" w:space="0" w:color="auto"/>
        <w:bottom w:val="none" w:sz="0" w:space="0" w:color="auto"/>
        <w:right w:val="none" w:sz="0" w:space="0" w:color="auto"/>
      </w:divBdr>
      <w:divsChild>
        <w:div w:id="2020111809">
          <w:marLeft w:val="0"/>
          <w:marRight w:val="0"/>
          <w:marTop w:val="0"/>
          <w:marBottom w:val="150"/>
          <w:divBdr>
            <w:top w:val="none" w:sz="0" w:space="0" w:color="auto"/>
            <w:left w:val="none" w:sz="0" w:space="0" w:color="auto"/>
            <w:bottom w:val="none" w:sz="0" w:space="0" w:color="auto"/>
            <w:right w:val="none" w:sz="0" w:space="0" w:color="auto"/>
          </w:divBdr>
        </w:div>
        <w:div w:id="1297684573">
          <w:marLeft w:val="0"/>
          <w:marRight w:val="0"/>
          <w:marTop w:val="0"/>
          <w:marBottom w:val="150"/>
          <w:divBdr>
            <w:top w:val="none" w:sz="0" w:space="0" w:color="auto"/>
            <w:left w:val="none" w:sz="0" w:space="0" w:color="auto"/>
            <w:bottom w:val="none" w:sz="0" w:space="0" w:color="auto"/>
            <w:right w:val="none" w:sz="0" w:space="0" w:color="auto"/>
          </w:divBdr>
        </w:div>
        <w:div w:id="1814829271">
          <w:marLeft w:val="0"/>
          <w:marRight w:val="0"/>
          <w:marTop w:val="0"/>
          <w:marBottom w:val="150"/>
          <w:divBdr>
            <w:top w:val="none" w:sz="0" w:space="0" w:color="auto"/>
            <w:left w:val="none" w:sz="0" w:space="0" w:color="auto"/>
            <w:bottom w:val="none" w:sz="0" w:space="0" w:color="auto"/>
            <w:right w:val="none" w:sz="0" w:space="0" w:color="auto"/>
          </w:divBdr>
        </w:div>
        <w:div w:id="1928924685">
          <w:marLeft w:val="0"/>
          <w:marRight w:val="0"/>
          <w:marTop w:val="0"/>
          <w:marBottom w:val="150"/>
          <w:divBdr>
            <w:top w:val="none" w:sz="0" w:space="0" w:color="auto"/>
            <w:left w:val="none" w:sz="0" w:space="0" w:color="auto"/>
            <w:bottom w:val="none" w:sz="0" w:space="0" w:color="auto"/>
            <w:right w:val="none" w:sz="0" w:space="0" w:color="auto"/>
          </w:divBdr>
        </w:div>
      </w:divsChild>
    </w:div>
    <w:div w:id="121114834">
      <w:bodyDiv w:val="1"/>
      <w:marLeft w:val="0"/>
      <w:marRight w:val="0"/>
      <w:marTop w:val="0"/>
      <w:marBottom w:val="0"/>
      <w:divBdr>
        <w:top w:val="none" w:sz="0" w:space="0" w:color="auto"/>
        <w:left w:val="none" w:sz="0" w:space="0" w:color="auto"/>
        <w:bottom w:val="none" w:sz="0" w:space="0" w:color="auto"/>
        <w:right w:val="none" w:sz="0" w:space="0" w:color="auto"/>
      </w:divBdr>
    </w:div>
    <w:div w:id="250283172">
      <w:bodyDiv w:val="1"/>
      <w:marLeft w:val="0"/>
      <w:marRight w:val="0"/>
      <w:marTop w:val="0"/>
      <w:marBottom w:val="0"/>
      <w:divBdr>
        <w:top w:val="none" w:sz="0" w:space="0" w:color="auto"/>
        <w:left w:val="none" w:sz="0" w:space="0" w:color="auto"/>
        <w:bottom w:val="none" w:sz="0" w:space="0" w:color="auto"/>
        <w:right w:val="none" w:sz="0" w:space="0" w:color="auto"/>
      </w:divBdr>
    </w:div>
    <w:div w:id="300381476">
      <w:bodyDiv w:val="1"/>
      <w:marLeft w:val="0"/>
      <w:marRight w:val="0"/>
      <w:marTop w:val="0"/>
      <w:marBottom w:val="0"/>
      <w:divBdr>
        <w:top w:val="none" w:sz="0" w:space="0" w:color="auto"/>
        <w:left w:val="none" w:sz="0" w:space="0" w:color="auto"/>
        <w:bottom w:val="none" w:sz="0" w:space="0" w:color="auto"/>
        <w:right w:val="none" w:sz="0" w:space="0" w:color="auto"/>
      </w:divBdr>
    </w:div>
    <w:div w:id="440607474">
      <w:bodyDiv w:val="1"/>
      <w:marLeft w:val="0"/>
      <w:marRight w:val="0"/>
      <w:marTop w:val="0"/>
      <w:marBottom w:val="0"/>
      <w:divBdr>
        <w:top w:val="none" w:sz="0" w:space="0" w:color="auto"/>
        <w:left w:val="none" w:sz="0" w:space="0" w:color="auto"/>
        <w:bottom w:val="none" w:sz="0" w:space="0" w:color="auto"/>
        <w:right w:val="none" w:sz="0" w:space="0" w:color="auto"/>
      </w:divBdr>
    </w:div>
    <w:div w:id="496193521">
      <w:bodyDiv w:val="1"/>
      <w:marLeft w:val="0"/>
      <w:marRight w:val="0"/>
      <w:marTop w:val="0"/>
      <w:marBottom w:val="0"/>
      <w:divBdr>
        <w:top w:val="none" w:sz="0" w:space="0" w:color="auto"/>
        <w:left w:val="none" w:sz="0" w:space="0" w:color="auto"/>
        <w:bottom w:val="none" w:sz="0" w:space="0" w:color="auto"/>
        <w:right w:val="none" w:sz="0" w:space="0" w:color="auto"/>
      </w:divBdr>
    </w:div>
    <w:div w:id="506602591">
      <w:bodyDiv w:val="1"/>
      <w:marLeft w:val="0"/>
      <w:marRight w:val="0"/>
      <w:marTop w:val="0"/>
      <w:marBottom w:val="0"/>
      <w:divBdr>
        <w:top w:val="none" w:sz="0" w:space="0" w:color="auto"/>
        <w:left w:val="none" w:sz="0" w:space="0" w:color="auto"/>
        <w:bottom w:val="none" w:sz="0" w:space="0" w:color="auto"/>
        <w:right w:val="none" w:sz="0" w:space="0" w:color="auto"/>
      </w:divBdr>
    </w:div>
    <w:div w:id="563369651">
      <w:bodyDiv w:val="1"/>
      <w:marLeft w:val="0"/>
      <w:marRight w:val="0"/>
      <w:marTop w:val="0"/>
      <w:marBottom w:val="0"/>
      <w:divBdr>
        <w:top w:val="none" w:sz="0" w:space="0" w:color="auto"/>
        <w:left w:val="none" w:sz="0" w:space="0" w:color="auto"/>
        <w:bottom w:val="none" w:sz="0" w:space="0" w:color="auto"/>
        <w:right w:val="none" w:sz="0" w:space="0" w:color="auto"/>
      </w:divBdr>
    </w:div>
    <w:div w:id="605694080">
      <w:bodyDiv w:val="1"/>
      <w:marLeft w:val="0"/>
      <w:marRight w:val="0"/>
      <w:marTop w:val="0"/>
      <w:marBottom w:val="0"/>
      <w:divBdr>
        <w:top w:val="none" w:sz="0" w:space="0" w:color="auto"/>
        <w:left w:val="none" w:sz="0" w:space="0" w:color="auto"/>
        <w:bottom w:val="none" w:sz="0" w:space="0" w:color="auto"/>
        <w:right w:val="none" w:sz="0" w:space="0" w:color="auto"/>
      </w:divBdr>
    </w:div>
    <w:div w:id="747268984">
      <w:bodyDiv w:val="1"/>
      <w:marLeft w:val="0"/>
      <w:marRight w:val="0"/>
      <w:marTop w:val="0"/>
      <w:marBottom w:val="0"/>
      <w:divBdr>
        <w:top w:val="none" w:sz="0" w:space="0" w:color="auto"/>
        <w:left w:val="none" w:sz="0" w:space="0" w:color="auto"/>
        <w:bottom w:val="none" w:sz="0" w:space="0" w:color="auto"/>
        <w:right w:val="none" w:sz="0" w:space="0" w:color="auto"/>
      </w:divBdr>
    </w:div>
    <w:div w:id="840386627">
      <w:bodyDiv w:val="1"/>
      <w:marLeft w:val="0"/>
      <w:marRight w:val="0"/>
      <w:marTop w:val="0"/>
      <w:marBottom w:val="0"/>
      <w:divBdr>
        <w:top w:val="none" w:sz="0" w:space="0" w:color="auto"/>
        <w:left w:val="none" w:sz="0" w:space="0" w:color="auto"/>
        <w:bottom w:val="none" w:sz="0" w:space="0" w:color="auto"/>
        <w:right w:val="none" w:sz="0" w:space="0" w:color="auto"/>
      </w:divBdr>
    </w:div>
    <w:div w:id="1069572225">
      <w:bodyDiv w:val="1"/>
      <w:marLeft w:val="0"/>
      <w:marRight w:val="0"/>
      <w:marTop w:val="0"/>
      <w:marBottom w:val="0"/>
      <w:divBdr>
        <w:top w:val="none" w:sz="0" w:space="0" w:color="auto"/>
        <w:left w:val="none" w:sz="0" w:space="0" w:color="auto"/>
        <w:bottom w:val="none" w:sz="0" w:space="0" w:color="auto"/>
        <w:right w:val="none" w:sz="0" w:space="0" w:color="auto"/>
      </w:divBdr>
    </w:div>
    <w:div w:id="1119835919">
      <w:bodyDiv w:val="1"/>
      <w:marLeft w:val="0"/>
      <w:marRight w:val="0"/>
      <w:marTop w:val="0"/>
      <w:marBottom w:val="0"/>
      <w:divBdr>
        <w:top w:val="none" w:sz="0" w:space="0" w:color="auto"/>
        <w:left w:val="none" w:sz="0" w:space="0" w:color="auto"/>
        <w:bottom w:val="none" w:sz="0" w:space="0" w:color="auto"/>
        <w:right w:val="none" w:sz="0" w:space="0" w:color="auto"/>
      </w:divBdr>
    </w:div>
    <w:div w:id="1233614233">
      <w:bodyDiv w:val="1"/>
      <w:marLeft w:val="0"/>
      <w:marRight w:val="0"/>
      <w:marTop w:val="0"/>
      <w:marBottom w:val="0"/>
      <w:divBdr>
        <w:top w:val="none" w:sz="0" w:space="0" w:color="auto"/>
        <w:left w:val="none" w:sz="0" w:space="0" w:color="auto"/>
        <w:bottom w:val="none" w:sz="0" w:space="0" w:color="auto"/>
        <w:right w:val="none" w:sz="0" w:space="0" w:color="auto"/>
      </w:divBdr>
    </w:div>
    <w:div w:id="1526291311">
      <w:bodyDiv w:val="1"/>
      <w:marLeft w:val="0"/>
      <w:marRight w:val="0"/>
      <w:marTop w:val="0"/>
      <w:marBottom w:val="0"/>
      <w:divBdr>
        <w:top w:val="none" w:sz="0" w:space="0" w:color="auto"/>
        <w:left w:val="none" w:sz="0" w:space="0" w:color="auto"/>
        <w:bottom w:val="none" w:sz="0" w:space="0" w:color="auto"/>
        <w:right w:val="none" w:sz="0" w:space="0" w:color="auto"/>
      </w:divBdr>
    </w:div>
    <w:div w:id="1565525046">
      <w:bodyDiv w:val="1"/>
      <w:marLeft w:val="0"/>
      <w:marRight w:val="0"/>
      <w:marTop w:val="0"/>
      <w:marBottom w:val="0"/>
      <w:divBdr>
        <w:top w:val="none" w:sz="0" w:space="0" w:color="auto"/>
        <w:left w:val="none" w:sz="0" w:space="0" w:color="auto"/>
        <w:bottom w:val="none" w:sz="0" w:space="0" w:color="auto"/>
        <w:right w:val="none" w:sz="0" w:space="0" w:color="auto"/>
      </w:divBdr>
    </w:div>
    <w:div w:id="1735394757">
      <w:bodyDiv w:val="1"/>
      <w:marLeft w:val="0"/>
      <w:marRight w:val="0"/>
      <w:marTop w:val="0"/>
      <w:marBottom w:val="0"/>
      <w:divBdr>
        <w:top w:val="none" w:sz="0" w:space="0" w:color="auto"/>
        <w:left w:val="none" w:sz="0" w:space="0" w:color="auto"/>
        <w:bottom w:val="none" w:sz="0" w:space="0" w:color="auto"/>
        <w:right w:val="none" w:sz="0" w:space="0" w:color="auto"/>
      </w:divBdr>
    </w:div>
    <w:div w:id="1861964525">
      <w:bodyDiv w:val="1"/>
      <w:marLeft w:val="0"/>
      <w:marRight w:val="0"/>
      <w:marTop w:val="0"/>
      <w:marBottom w:val="0"/>
      <w:divBdr>
        <w:top w:val="none" w:sz="0" w:space="0" w:color="auto"/>
        <w:left w:val="none" w:sz="0" w:space="0" w:color="auto"/>
        <w:bottom w:val="none" w:sz="0" w:space="0" w:color="auto"/>
        <w:right w:val="none" w:sz="0" w:space="0" w:color="auto"/>
      </w:divBdr>
    </w:div>
    <w:div w:id="1911650917">
      <w:bodyDiv w:val="1"/>
      <w:marLeft w:val="0"/>
      <w:marRight w:val="0"/>
      <w:marTop w:val="0"/>
      <w:marBottom w:val="0"/>
      <w:divBdr>
        <w:top w:val="none" w:sz="0" w:space="0" w:color="auto"/>
        <w:left w:val="none" w:sz="0" w:space="0" w:color="auto"/>
        <w:bottom w:val="none" w:sz="0" w:space="0" w:color="auto"/>
        <w:right w:val="none" w:sz="0" w:space="0" w:color="auto"/>
      </w:divBdr>
    </w:div>
    <w:div w:id="1925456321">
      <w:bodyDiv w:val="1"/>
      <w:marLeft w:val="0"/>
      <w:marRight w:val="0"/>
      <w:marTop w:val="0"/>
      <w:marBottom w:val="0"/>
      <w:divBdr>
        <w:top w:val="none" w:sz="0" w:space="0" w:color="auto"/>
        <w:left w:val="none" w:sz="0" w:space="0" w:color="auto"/>
        <w:bottom w:val="none" w:sz="0" w:space="0" w:color="auto"/>
        <w:right w:val="none" w:sz="0" w:space="0" w:color="auto"/>
      </w:divBdr>
      <w:divsChild>
        <w:div w:id="2046561907">
          <w:marLeft w:val="0"/>
          <w:marRight w:val="0"/>
          <w:marTop w:val="0"/>
          <w:marBottom w:val="150"/>
          <w:divBdr>
            <w:top w:val="none" w:sz="0" w:space="0" w:color="auto"/>
            <w:left w:val="none" w:sz="0" w:space="0" w:color="auto"/>
            <w:bottom w:val="none" w:sz="0" w:space="0" w:color="auto"/>
            <w:right w:val="none" w:sz="0" w:space="0" w:color="auto"/>
          </w:divBdr>
        </w:div>
        <w:div w:id="24142923">
          <w:marLeft w:val="0"/>
          <w:marRight w:val="0"/>
          <w:marTop w:val="0"/>
          <w:marBottom w:val="150"/>
          <w:divBdr>
            <w:top w:val="none" w:sz="0" w:space="0" w:color="auto"/>
            <w:left w:val="none" w:sz="0" w:space="0" w:color="auto"/>
            <w:bottom w:val="none" w:sz="0" w:space="0" w:color="auto"/>
            <w:right w:val="none" w:sz="0" w:space="0" w:color="auto"/>
          </w:divBdr>
        </w:div>
        <w:div w:id="1502888396">
          <w:marLeft w:val="0"/>
          <w:marRight w:val="0"/>
          <w:marTop w:val="0"/>
          <w:marBottom w:val="150"/>
          <w:divBdr>
            <w:top w:val="none" w:sz="0" w:space="0" w:color="auto"/>
            <w:left w:val="none" w:sz="0" w:space="0" w:color="auto"/>
            <w:bottom w:val="none" w:sz="0" w:space="0" w:color="auto"/>
            <w:right w:val="none" w:sz="0" w:space="0" w:color="auto"/>
          </w:divBdr>
        </w:div>
        <w:div w:id="1390111124">
          <w:marLeft w:val="0"/>
          <w:marRight w:val="0"/>
          <w:marTop w:val="0"/>
          <w:marBottom w:val="150"/>
          <w:divBdr>
            <w:top w:val="none" w:sz="0" w:space="0" w:color="auto"/>
            <w:left w:val="none" w:sz="0" w:space="0" w:color="auto"/>
            <w:bottom w:val="none" w:sz="0" w:space="0" w:color="auto"/>
            <w:right w:val="none" w:sz="0" w:space="0" w:color="auto"/>
          </w:divBdr>
        </w:div>
      </w:divsChild>
    </w:div>
    <w:div w:id="2032608244">
      <w:bodyDiv w:val="1"/>
      <w:marLeft w:val="0"/>
      <w:marRight w:val="0"/>
      <w:marTop w:val="0"/>
      <w:marBottom w:val="0"/>
      <w:divBdr>
        <w:top w:val="none" w:sz="0" w:space="0" w:color="auto"/>
        <w:left w:val="none" w:sz="0" w:space="0" w:color="auto"/>
        <w:bottom w:val="none" w:sz="0" w:space="0" w:color="auto"/>
        <w:right w:val="none" w:sz="0" w:space="0" w:color="auto"/>
      </w:divBdr>
    </w:div>
    <w:div w:id="2125417687">
      <w:bodyDiv w:val="1"/>
      <w:marLeft w:val="0"/>
      <w:marRight w:val="0"/>
      <w:marTop w:val="0"/>
      <w:marBottom w:val="0"/>
      <w:divBdr>
        <w:top w:val="none" w:sz="0" w:space="0" w:color="auto"/>
        <w:left w:val="none" w:sz="0" w:space="0" w:color="auto"/>
        <w:bottom w:val="none" w:sz="0" w:space="0" w:color="auto"/>
        <w:right w:val="none" w:sz="0" w:space="0" w:color="auto"/>
      </w:divBdr>
    </w:div>
    <w:div w:id="213066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515</Words>
  <Characters>3249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Walpuski</dc:creator>
  <cp:keywords/>
  <dc:description/>
  <cp:lastModifiedBy>Silke Walpuski</cp:lastModifiedBy>
  <cp:revision>2</cp:revision>
  <dcterms:created xsi:type="dcterms:W3CDTF">2024-12-05T12:01:00Z</dcterms:created>
  <dcterms:modified xsi:type="dcterms:W3CDTF">2024-12-05T12:01:00Z</dcterms:modified>
</cp:coreProperties>
</file>