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EAB7E" w14:textId="16B831A6" w:rsidR="00CE2662" w:rsidRDefault="00252969" w:rsidP="0036119B">
      <w:pPr>
        <w:pStyle w:val="berschrift1"/>
        <w:rPr>
          <w:b/>
        </w:rPr>
      </w:pPr>
      <w:r>
        <w:t>Einführungsphase</w:t>
      </w:r>
      <w:r w:rsidR="0036119B">
        <w:t xml:space="preserve"> – </w:t>
      </w:r>
      <w:r w:rsidR="005E2C3E">
        <w:t>Biochemie</w:t>
      </w:r>
      <w:r>
        <w:t xml:space="preserve"> der Zelle</w:t>
      </w:r>
    </w:p>
    <w:p w14:paraId="2DC36215" w14:textId="20C96C2D" w:rsidR="004D6FED" w:rsidRPr="00CD7FF2" w:rsidRDefault="004D6FED" w:rsidP="004D6FED">
      <w:pPr>
        <w:rPr>
          <w:sz w:val="20"/>
          <w:szCs w:val="20"/>
        </w:rPr>
      </w:pPr>
      <w:r w:rsidRPr="00CD7FF2">
        <w:rPr>
          <w:b/>
          <w:bCs/>
          <w:sz w:val="20"/>
          <w:szCs w:val="20"/>
        </w:rPr>
        <w:t>Leitfrage</w:t>
      </w:r>
      <w:r w:rsidRPr="00CD7FF2">
        <w:rPr>
          <w:b/>
          <w:bCs/>
          <w:sz w:val="20"/>
          <w:szCs w:val="20"/>
        </w:rPr>
        <w:br/>
      </w:r>
      <w:r w:rsidR="00DE065E" w:rsidRPr="00CD7FF2">
        <w:rPr>
          <w:sz w:val="20"/>
          <w:szCs w:val="20"/>
        </w:rPr>
        <w:t>Wie können extrazelluläre Botenstoffe, wie zum Beispiel Hormone, eine Reaktion in der Zelle auslösen?</w:t>
      </w:r>
    </w:p>
    <w:p w14:paraId="4A202605" w14:textId="03251A14" w:rsidR="00DE065E" w:rsidRPr="00CD7FF2" w:rsidRDefault="00124CDC" w:rsidP="00DE065E">
      <w:pPr>
        <w:rPr>
          <w:bCs/>
          <w:iCs/>
          <w:sz w:val="20"/>
          <w:szCs w:val="20"/>
        </w:rPr>
      </w:pPr>
      <w:r w:rsidRPr="00CD7FF2">
        <w:rPr>
          <w:b/>
          <w:sz w:val="20"/>
          <w:szCs w:val="20"/>
        </w:rPr>
        <w:t>Didaktisch-methodische Anmerkungen</w:t>
      </w:r>
      <w:r w:rsidR="004B325D" w:rsidRPr="00CD7FF2">
        <w:rPr>
          <w:b/>
          <w:sz w:val="20"/>
          <w:szCs w:val="20"/>
        </w:rPr>
        <w:br/>
      </w:r>
      <w:r w:rsidR="00DE065E" w:rsidRPr="00CD7FF2">
        <w:rPr>
          <w:bCs/>
          <w:i/>
          <w:iCs/>
          <w:sz w:val="20"/>
          <w:szCs w:val="20"/>
        </w:rPr>
        <w:t>Kontext:</w:t>
      </w:r>
      <w:r w:rsidR="00861168" w:rsidRPr="00CD7FF2">
        <w:rPr>
          <w:bCs/>
          <w:i/>
          <w:iCs/>
          <w:sz w:val="20"/>
          <w:szCs w:val="20"/>
        </w:rPr>
        <w:t xml:space="preserve"> </w:t>
      </w:r>
      <w:r w:rsidR="00DE065E" w:rsidRPr="00CD7FF2">
        <w:rPr>
          <w:bCs/>
          <w:iCs/>
          <w:sz w:val="20"/>
          <w:szCs w:val="20"/>
        </w:rPr>
        <w:t>Signaltransduktion am Beispiel des Hormons Insulin</w:t>
      </w:r>
    </w:p>
    <w:p w14:paraId="609C5F1D" w14:textId="77777777" w:rsidR="00CD7FF2" w:rsidRPr="00CD7FF2" w:rsidRDefault="00DE065E" w:rsidP="00CD7FF2">
      <w:pPr>
        <w:pStyle w:val="KeinLeerraum"/>
        <w:rPr>
          <w:i/>
          <w:sz w:val="20"/>
          <w:szCs w:val="20"/>
        </w:rPr>
      </w:pPr>
      <w:r w:rsidRPr="00CD7FF2">
        <w:rPr>
          <w:i/>
          <w:sz w:val="20"/>
          <w:szCs w:val="20"/>
        </w:rPr>
        <w:t>zentrale Unterrichtssituationen:</w:t>
      </w:r>
    </w:p>
    <w:p w14:paraId="402366A8" w14:textId="31FD61C4" w:rsidR="00DE065E" w:rsidRPr="00CD7FF2" w:rsidRDefault="00DE065E" w:rsidP="00CD7FF2">
      <w:pPr>
        <w:pStyle w:val="KeinLeerraum"/>
        <w:numPr>
          <w:ilvl w:val="0"/>
          <w:numId w:val="45"/>
        </w:numPr>
        <w:rPr>
          <w:sz w:val="20"/>
          <w:szCs w:val="20"/>
        </w:rPr>
      </w:pPr>
      <w:r w:rsidRPr="00CD7FF2">
        <w:rPr>
          <w:sz w:val="20"/>
          <w:szCs w:val="20"/>
        </w:rPr>
        <w:t>Aktivierung von Vorwissen aus der Sekundarstufe I zur Wirkung des Hormons Insulin auf die Glucosekonzentration im Blut</w:t>
      </w:r>
    </w:p>
    <w:p w14:paraId="344668D5" w14:textId="756215A3" w:rsidR="00DE065E" w:rsidRPr="00CD7FF2" w:rsidRDefault="00DE065E" w:rsidP="00CC7762">
      <w:pPr>
        <w:pStyle w:val="Listenabsatz"/>
        <w:numPr>
          <w:ilvl w:val="0"/>
          <w:numId w:val="45"/>
        </w:numPr>
        <w:rPr>
          <w:bCs/>
          <w:iCs/>
          <w:sz w:val="20"/>
          <w:szCs w:val="20"/>
        </w:rPr>
      </w:pPr>
      <w:r w:rsidRPr="00CD7FF2">
        <w:rPr>
          <w:bCs/>
          <w:iCs/>
          <w:sz w:val="20"/>
          <w:szCs w:val="20"/>
        </w:rPr>
        <w:t>Erläuterung des Schlüssel-Schloss-Prinzips am Beispiel der Bindung des Insulins an d</w:t>
      </w:r>
      <w:r w:rsidR="003349D4" w:rsidRPr="00CD7FF2">
        <w:rPr>
          <w:bCs/>
          <w:iCs/>
          <w:sz w:val="20"/>
          <w:szCs w:val="20"/>
        </w:rPr>
        <w:t>as</w:t>
      </w:r>
      <w:r w:rsidRPr="00CD7FF2">
        <w:rPr>
          <w:bCs/>
          <w:iCs/>
          <w:sz w:val="20"/>
          <w:szCs w:val="20"/>
        </w:rPr>
        <w:t xml:space="preserve"> Insulinrezeptor</w:t>
      </w:r>
      <w:r w:rsidR="003349D4" w:rsidRPr="00CD7FF2">
        <w:rPr>
          <w:bCs/>
          <w:iCs/>
          <w:sz w:val="20"/>
          <w:szCs w:val="20"/>
        </w:rPr>
        <w:t>protein</w:t>
      </w:r>
      <w:r w:rsidR="00CC7762" w:rsidRPr="00CD7FF2">
        <w:rPr>
          <w:bCs/>
          <w:iCs/>
          <w:sz w:val="20"/>
          <w:szCs w:val="20"/>
        </w:rPr>
        <w:t xml:space="preserve"> und Erarbeitung der Signaltransduktion sowie der ausgelösten Signalkette in der Zielzelle</w:t>
      </w:r>
    </w:p>
    <w:p w14:paraId="5534A6A5" w14:textId="0C3083DB" w:rsidR="004D6FED" w:rsidRPr="00CD7FF2" w:rsidRDefault="00DE065E" w:rsidP="00DE065E">
      <w:pPr>
        <w:pStyle w:val="Listenabsatz"/>
        <w:numPr>
          <w:ilvl w:val="0"/>
          <w:numId w:val="45"/>
        </w:numPr>
        <w:rPr>
          <w:bCs/>
          <w:sz w:val="20"/>
          <w:szCs w:val="20"/>
        </w:rPr>
      </w:pPr>
      <w:r w:rsidRPr="00CD7FF2">
        <w:rPr>
          <w:bCs/>
          <w:sz w:val="20"/>
          <w:szCs w:val="20"/>
        </w:rPr>
        <w:t>Ableitung der Auswirkungen des Insulins auf die Glucosekonzentration im Blut unter Berücksichtigung des Basiskonzepts Information und Kommunikation (Prinzip der Signaltransduktion an Zellmembranen)</w:t>
      </w:r>
    </w:p>
    <w:p w14:paraId="762DCE76" w14:textId="085A2D92" w:rsidR="00BD5785" w:rsidRPr="00CD7FF2" w:rsidRDefault="00124CDC" w:rsidP="00CC7762">
      <w:pPr>
        <w:rPr>
          <w:bCs/>
          <w:color w:val="0070C0"/>
          <w:sz w:val="20"/>
          <w:szCs w:val="20"/>
        </w:rPr>
      </w:pPr>
      <w:r w:rsidRPr="00CD7FF2">
        <w:rPr>
          <w:b/>
          <w:sz w:val="20"/>
          <w:szCs w:val="20"/>
        </w:rPr>
        <w:t>Sachinformationen für Lehrkräfte</w:t>
      </w:r>
      <w:r w:rsidRPr="00CD7FF2">
        <w:rPr>
          <w:b/>
          <w:sz w:val="20"/>
          <w:szCs w:val="20"/>
        </w:rPr>
        <w:br/>
      </w:r>
      <w:r w:rsidR="00A71612" w:rsidRPr="00CD7FF2">
        <w:rPr>
          <w:bCs/>
          <w:sz w:val="20"/>
          <w:szCs w:val="20"/>
        </w:rPr>
        <w:t xml:space="preserve">Am Beispiel des Insulinrezeptors lässt sich das Grundprinzip der Signaltransduktion </w:t>
      </w:r>
      <w:r w:rsidR="00CF71CB" w:rsidRPr="00CD7FF2">
        <w:rPr>
          <w:bCs/>
          <w:sz w:val="20"/>
          <w:szCs w:val="20"/>
        </w:rPr>
        <w:t xml:space="preserve">modellhaft </w:t>
      </w:r>
      <w:r w:rsidR="00A71612" w:rsidRPr="00CD7FF2">
        <w:rPr>
          <w:bCs/>
          <w:sz w:val="20"/>
          <w:szCs w:val="20"/>
        </w:rPr>
        <w:t xml:space="preserve">im Unterricht erarbeiten. Die komplexen Prozesse dieser Signalwege sind hier bereits </w:t>
      </w:r>
      <w:r w:rsidR="00A71612" w:rsidRPr="00CD7FF2">
        <w:rPr>
          <w:b/>
          <w:sz w:val="20"/>
          <w:szCs w:val="20"/>
        </w:rPr>
        <w:t>stark vereinfacht</w:t>
      </w:r>
      <w:r w:rsidR="00A71612" w:rsidRPr="00CD7FF2">
        <w:rPr>
          <w:bCs/>
          <w:sz w:val="20"/>
          <w:szCs w:val="20"/>
        </w:rPr>
        <w:t xml:space="preserve"> zusammengefasst, sodass </w:t>
      </w:r>
      <w:r w:rsidR="00CF71CB" w:rsidRPr="00CD7FF2">
        <w:rPr>
          <w:bCs/>
          <w:sz w:val="20"/>
          <w:szCs w:val="20"/>
        </w:rPr>
        <w:t>das Vorwissen der Lerngruppe angemessen einbezogen wird. Zusätzliche Aspekte, die für den tatsächlichen Ablauf der Prozesse wichtig sind, wurden aus Gründen der didaktischen Reduktion nicht dargestellt.</w:t>
      </w:r>
      <w:r w:rsidR="00165198" w:rsidRPr="00CD7FF2">
        <w:rPr>
          <w:bCs/>
          <w:sz w:val="20"/>
          <w:szCs w:val="20"/>
        </w:rPr>
        <w:t xml:space="preserve"> </w:t>
      </w:r>
      <w:r w:rsidR="00311139">
        <w:rPr>
          <w:bCs/>
          <w:sz w:val="20"/>
          <w:szCs w:val="20"/>
        </w:rPr>
        <w:br/>
      </w:r>
      <w:bookmarkStart w:id="0" w:name="_GoBack"/>
      <w:bookmarkEnd w:id="0"/>
      <w:r w:rsidR="00165198" w:rsidRPr="00CD7FF2">
        <w:rPr>
          <w:bCs/>
          <w:color w:val="0070C0"/>
          <w:sz w:val="20"/>
          <w:szCs w:val="20"/>
        </w:rPr>
        <w:t>Zusatzinformationen für die Lehrkraft sind in blau dargestellt.</w:t>
      </w:r>
    </w:p>
    <w:p w14:paraId="1A960A02" w14:textId="2E37BE9A" w:rsidR="004167B5" w:rsidRPr="004167B5" w:rsidRDefault="00CF71CB" w:rsidP="00CC7762">
      <w:pPr>
        <w:rPr>
          <w:iCs/>
        </w:rPr>
      </w:pPr>
      <w:r w:rsidRPr="00CD7FF2">
        <w:rPr>
          <w:iCs/>
          <w:sz w:val="20"/>
          <w:szCs w:val="20"/>
        </w:rPr>
        <w:t>D</w:t>
      </w:r>
      <w:r w:rsidR="00DC05D6" w:rsidRPr="00CD7FF2">
        <w:rPr>
          <w:iCs/>
          <w:sz w:val="20"/>
          <w:szCs w:val="20"/>
        </w:rPr>
        <w:t>as</w:t>
      </w:r>
      <w:r w:rsidRPr="00CD7FF2">
        <w:rPr>
          <w:iCs/>
          <w:sz w:val="20"/>
          <w:szCs w:val="20"/>
        </w:rPr>
        <w:t xml:space="preserve"> </w:t>
      </w:r>
      <w:r w:rsidR="004167B5" w:rsidRPr="00CD7FF2">
        <w:rPr>
          <w:b/>
          <w:bCs/>
          <w:iCs/>
          <w:sz w:val="20"/>
          <w:szCs w:val="20"/>
        </w:rPr>
        <w:t>Insulinrezeptor</w:t>
      </w:r>
      <w:r w:rsidR="00DC05D6" w:rsidRPr="00CD7FF2">
        <w:rPr>
          <w:b/>
          <w:bCs/>
          <w:iCs/>
          <w:sz w:val="20"/>
          <w:szCs w:val="20"/>
        </w:rPr>
        <w:t>protein</w:t>
      </w:r>
      <w:r w:rsidR="00CC7762" w:rsidRPr="00CD7FF2">
        <w:rPr>
          <w:iCs/>
          <w:sz w:val="20"/>
          <w:szCs w:val="20"/>
        </w:rPr>
        <w:t xml:space="preserve"> </w:t>
      </w:r>
      <w:r w:rsidRPr="00CD7FF2">
        <w:rPr>
          <w:iCs/>
          <w:sz w:val="20"/>
          <w:szCs w:val="20"/>
        </w:rPr>
        <w:t xml:space="preserve">ist </w:t>
      </w:r>
      <w:r w:rsidR="004167B5" w:rsidRPr="00CD7FF2">
        <w:rPr>
          <w:bCs/>
          <w:iCs/>
          <w:sz w:val="20"/>
          <w:szCs w:val="20"/>
        </w:rPr>
        <w:t>ein Transmembranprotein,</w:t>
      </w:r>
      <w:r w:rsidRPr="00CD7FF2">
        <w:rPr>
          <w:bCs/>
          <w:iCs/>
          <w:sz w:val="20"/>
          <w:szCs w:val="20"/>
        </w:rPr>
        <w:t xml:space="preserve"> das</w:t>
      </w:r>
      <w:r w:rsidR="004167B5" w:rsidRPr="00CD7FF2">
        <w:rPr>
          <w:bCs/>
          <w:iCs/>
          <w:sz w:val="20"/>
          <w:szCs w:val="20"/>
        </w:rPr>
        <w:t xml:space="preserve"> insbesondere in den Zellmembranen von </w:t>
      </w:r>
      <w:r w:rsidR="00512E8B">
        <w:rPr>
          <w:bCs/>
          <w:iCs/>
          <w:sz w:val="20"/>
          <w:szCs w:val="20"/>
        </w:rPr>
        <w:t>Leber</w:t>
      </w:r>
      <w:r w:rsidR="004167B5" w:rsidRPr="00CD7FF2">
        <w:rPr>
          <w:bCs/>
          <w:iCs/>
          <w:sz w:val="20"/>
          <w:szCs w:val="20"/>
        </w:rPr>
        <w:t>-</w:t>
      </w:r>
      <w:r w:rsidR="00CD7FF2">
        <w:rPr>
          <w:bCs/>
          <w:iCs/>
          <w:sz w:val="20"/>
          <w:szCs w:val="20"/>
        </w:rPr>
        <w:t>,</w:t>
      </w:r>
      <w:r w:rsidRPr="00CD7FF2">
        <w:rPr>
          <w:bCs/>
          <w:iCs/>
          <w:sz w:val="20"/>
          <w:szCs w:val="20"/>
        </w:rPr>
        <w:t xml:space="preserve"> Fett-</w:t>
      </w:r>
      <w:r w:rsidR="004167B5" w:rsidRPr="00CD7FF2">
        <w:rPr>
          <w:bCs/>
          <w:iCs/>
          <w:sz w:val="20"/>
          <w:szCs w:val="20"/>
        </w:rPr>
        <w:t xml:space="preserve"> und </w:t>
      </w:r>
      <w:r w:rsidR="00512E8B">
        <w:rPr>
          <w:bCs/>
          <w:iCs/>
          <w:sz w:val="20"/>
          <w:szCs w:val="20"/>
        </w:rPr>
        <w:t>Muskelzellen</w:t>
      </w:r>
      <w:r w:rsidRPr="00CD7FF2">
        <w:rPr>
          <w:bCs/>
          <w:iCs/>
          <w:sz w:val="20"/>
          <w:szCs w:val="20"/>
        </w:rPr>
        <w:t xml:space="preserve"> vorkommt. </w:t>
      </w:r>
      <w:r w:rsidR="00D733FB" w:rsidRPr="00CD7FF2">
        <w:rPr>
          <w:bCs/>
          <w:iCs/>
          <w:sz w:val="20"/>
          <w:szCs w:val="20"/>
        </w:rPr>
        <w:t>Durch die spezifische Bindung des ausgeschütteten Insulins an d</w:t>
      </w:r>
      <w:r w:rsidR="00DC05D6" w:rsidRPr="00CD7FF2">
        <w:rPr>
          <w:bCs/>
          <w:iCs/>
          <w:sz w:val="20"/>
          <w:szCs w:val="20"/>
        </w:rPr>
        <w:t>as</w:t>
      </w:r>
      <w:r w:rsidR="00D733FB" w:rsidRPr="00CD7FF2">
        <w:rPr>
          <w:bCs/>
          <w:iCs/>
          <w:sz w:val="20"/>
          <w:szCs w:val="20"/>
        </w:rPr>
        <w:t xml:space="preserve"> Insulinrezeptor</w:t>
      </w:r>
      <w:r w:rsidR="00DC05D6" w:rsidRPr="00CD7FF2">
        <w:rPr>
          <w:bCs/>
          <w:iCs/>
          <w:sz w:val="20"/>
          <w:szCs w:val="20"/>
        </w:rPr>
        <w:t>protein</w:t>
      </w:r>
      <w:r w:rsidR="00D733FB" w:rsidRPr="00CD7FF2">
        <w:rPr>
          <w:bCs/>
          <w:iCs/>
          <w:sz w:val="20"/>
          <w:szCs w:val="20"/>
        </w:rPr>
        <w:t xml:space="preserve"> werden verschiedene Prozesse ausgelöst, von denen hier exemplarisch ein Aspekt </w:t>
      </w:r>
      <w:r w:rsidR="001C0B1C" w:rsidRPr="00CD7FF2">
        <w:rPr>
          <w:bCs/>
          <w:iCs/>
          <w:sz w:val="20"/>
          <w:szCs w:val="20"/>
        </w:rPr>
        <w:t xml:space="preserve">in Form einer </w:t>
      </w:r>
      <w:r w:rsidR="001C0B1C" w:rsidRPr="00CD7FF2">
        <w:rPr>
          <w:b/>
          <w:iCs/>
          <w:sz w:val="20"/>
          <w:szCs w:val="20"/>
        </w:rPr>
        <w:t>vereinfachten Signalkette</w:t>
      </w:r>
      <w:r w:rsidR="001C0B1C" w:rsidRPr="00CD7FF2">
        <w:rPr>
          <w:bCs/>
          <w:iCs/>
          <w:sz w:val="20"/>
          <w:szCs w:val="20"/>
        </w:rPr>
        <w:t xml:space="preserve"> dargestellt </w:t>
      </w:r>
      <w:r w:rsidR="00D733FB" w:rsidRPr="00CD7FF2">
        <w:rPr>
          <w:bCs/>
          <w:iCs/>
          <w:sz w:val="20"/>
          <w:szCs w:val="20"/>
        </w:rPr>
        <w:t>wird.</w:t>
      </w:r>
      <w:r w:rsidR="001C0B1C">
        <w:rPr>
          <w:bCs/>
          <w:iCs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2"/>
      </w:tblGrid>
      <w:tr w:rsidR="001C0B1C" w:rsidRPr="00CD7FF2" w14:paraId="1D63FC0A" w14:textId="77777777" w:rsidTr="00CD7FF2">
        <w:tc>
          <w:tcPr>
            <w:tcW w:w="5670" w:type="dxa"/>
            <w:shd w:val="clear" w:color="auto" w:fill="auto"/>
          </w:tcPr>
          <w:p w14:paraId="105F63B9" w14:textId="233C7543" w:rsidR="001C0B1C" w:rsidRPr="00DF4B06" w:rsidRDefault="001C0B1C" w:rsidP="001C0B1C">
            <w:pPr>
              <w:rPr>
                <w:i/>
                <w:sz w:val="20"/>
                <w:szCs w:val="20"/>
              </w:rPr>
            </w:pPr>
            <w:r w:rsidRPr="00DF4B06">
              <w:rPr>
                <w:i/>
                <w:sz w:val="20"/>
                <w:szCs w:val="20"/>
              </w:rPr>
              <w:t>Sachinformation</w:t>
            </w:r>
            <w:r w:rsidR="007F1169" w:rsidRPr="00DF4B06">
              <w:rPr>
                <w:i/>
                <w:sz w:val="20"/>
                <w:szCs w:val="20"/>
              </w:rPr>
              <w:t>en</w:t>
            </w:r>
          </w:p>
        </w:tc>
        <w:tc>
          <w:tcPr>
            <w:tcW w:w="3392" w:type="dxa"/>
            <w:shd w:val="clear" w:color="auto" w:fill="auto"/>
          </w:tcPr>
          <w:p w14:paraId="36816748" w14:textId="132A0742" w:rsidR="001C0B1C" w:rsidRPr="00DF4B06" w:rsidRDefault="001C0B1C" w:rsidP="001C0B1C">
            <w:pPr>
              <w:rPr>
                <w:i/>
                <w:color w:val="0070C0"/>
                <w:sz w:val="20"/>
                <w:szCs w:val="20"/>
              </w:rPr>
            </w:pPr>
            <w:r w:rsidRPr="00DF4B06">
              <w:rPr>
                <w:i/>
                <w:color w:val="0070C0"/>
                <w:sz w:val="20"/>
                <w:szCs w:val="20"/>
              </w:rPr>
              <w:t>mögliche didaktische Einbindung</w:t>
            </w:r>
          </w:p>
        </w:tc>
      </w:tr>
      <w:tr w:rsidR="001C0B1C" w:rsidRPr="00CD7FF2" w14:paraId="229A7B48" w14:textId="77777777" w:rsidTr="00CD7FF2">
        <w:tc>
          <w:tcPr>
            <w:tcW w:w="5670" w:type="dxa"/>
          </w:tcPr>
          <w:p w14:paraId="1FC8DF08" w14:textId="731404E6" w:rsidR="001C0B1C" w:rsidRPr="00CD7FF2" w:rsidRDefault="001C0B1C" w:rsidP="001C0B1C">
            <w:pPr>
              <w:pStyle w:val="Listenabsatz"/>
              <w:numPr>
                <w:ilvl w:val="0"/>
                <w:numId w:val="47"/>
              </w:numPr>
              <w:rPr>
                <w:iCs/>
                <w:sz w:val="20"/>
                <w:szCs w:val="20"/>
              </w:rPr>
            </w:pPr>
            <w:r w:rsidRPr="00CD7FF2">
              <w:rPr>
                <w:bCs/>
                <w:iCs/>
                <w:sz w:val="20"/>
                <w:szCs w:val="20"/>
              </w:rPr>
              <w:t>Insulinbindung führt zu Konformationsänderung des Insulin-Rezeptorproteins</w:t>
            </w:r>
          </w:p>
        </w:tc>
        <w:tc>
          <w:tcPr>
            <w:tcW w:w="3392" w:type="dxa"/>
          </w:tcPr>
          <w:p w14:paraId="0B96582B" w14:textId="77777777" w:rsidR="001C0B1C" w:rsidRPr="00CD7FF2" w:rsidRDefault="001C0B1C" w:rsidP="001C0B1C">
            <w:pPr>
              <w:pStyle w:val="Listenabsatz"/>
              <w:numPr>
                <w:ilvl w:val="0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 w:rsidRPr="00CD7FF2">
              <w:rPr>
                <w:iCs/>
                <w:color w:val="0070C0"/>
                <w:sz w:val="20"/>
                <w:szCs w:val="20"/>
              </w:rPr>
              <w:t>Schlüssel-Schloss-Prinzip</w:t>
            </w:r>
          </w:p>
          <w:p w14:paraId="7820EFBF" w14:textId="0BA03E96" w:rsidR="00BD5785" w:rsidRPr="00CD7FF2" w:rsidRDefault="00BD5785" w:rsidP="001C0B1C">
            <w:pPr>
              <w:pStyle w:val="Listenabsatz"/>
              <w:numPr>
                <w:ilvl w:val="0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 w:rsidRPr="00CD7FF2">
              <w:rPr>
                <w:iCs/>
                <w:color w:val="0070C0"/>
                <w:sz w:val="20"/>
                <w:szCs w:val="20"/>
              </w:rPr>
              <w:t>Basiskonzept Struktur und Funktion</w:t>
            </w:r>
          </w:p>
        </w:tc>
      </w:tr>
      <w:tr w:rsidR="001C0B1C" w:rsidRPr="00CD7FF2" w14:paraId="200731F7" w14:textId="77777777" w:rsidTr="00CD7FF2">
        <w:tc>
          <w:tcPr>
            <w:tcW w:w="5670" w:type="dxa"/>
          </w:tcPr>
          <w:p w14:paraId="1B784D9A" w14:textId="492C106E" w:rsidR="001C0B1C" w:rsidRPr="00CD7FF2" w:rsidRDefault="00DC05D6" w:rsidP="00DC05D6">
            <w:pPr>
              <w:pStyle w:val="Listenabsatz"/>
              <w:numPr>
                <w:ilvl w:val="0"/>
                <w:numId w:val="47"/>
              </w:numPr>
              <w:rPr>
                <w:iCs/>
                <w:sz w:val="20"/>
                <w:szCs w:val="20"/>
              </w:rPr>
            </w:pPr>
            <w:r w:rsidRPr="00CD7FF2">
              <w:rPr>
                <w:bCs/>
                <w:iCs/>
                <w:sz w:val="20"/>
                <w:szCs w:val="20"/>
              </w:rPr>
              <w:t xml:space="preserve">bewirkt </w:t>
            </w:r>
            <w:r w:rsidRPr="00CD7FF2">
              <w:rPr>
                <w:bCs/>
                <w:iCs/>
                <w:color w:val="0070C0"/>
                <w:sz w:val="20"/>
                <w:szCs w:val="20"/>
              </w:rPr>
              <w:t>eine Autophosphorylierung und damit</w:t>
            </w:r>
            <w:r w:rsidRPr="00CD7FF2">
              <w:rPr>
                <w:bCs/>
                <w:iCs/>
                <w:sz w:val="20"/>
                <w:szCs w:val="20"/>
              </w:rPr>
              <w:t xml:space="preserve"> Aktivierung des Insulin-Rezeptorproteins</w:t>
            </w:r>
          </w:p>
        </w:tc>
        <w:tc>
          <w:tcPr>
            <w:tcW w:w="3392" w:type="dxa"/>
          </w:tcPr>
          <w:p w14:paraId="7145DB9E" w14:textId="613A441B" w:rsidR="001C0B1C" w:rsidRPr="00CD7FF2" w:rsidRDefault="000D396D" w:rsidP="00DC05D6">
            <w:pPr>
              <w:pStyle w:val="Listenabsatz"/>
              <w:numPr>
                <w:ilvl w:val="0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 w:rsidRPr="00CD7FF2">
              <w:rPr>
                <w:iCs/>
                <w:color w:val="0070C0"/>
                <w:sz w:val="20"/>
                <w:szCs w:val="20"/>
              </w:rPr>
              <w:t>Vorwissen zu Konformationsänderungen von Carrier-Proteinen</w:t>
            </w:r>
          </w:p>
        </w:tc>
      </w:tr>
      <w:tr w:rsidR="00BD5785" w:rsidRPr="00CD7FF2" w14:paraId="6289A7B4" w14:textId="77777777" w:rsidTr="00CD7FF2">
        <w:tc>
          <w:tcPr>
            <w:tcW w:w="5670" w:type="dxa"/>
          </w:tcPr>
          <w:p w14:paraId="4F14840E" w14:textId="44B2F56B" w:rsidR="00BD5785" w:rsidRPr="00CD7FF2" w:rsidRDefault="00BD5785" w:rsidP="00BD5785">
            <w:pPr>
              <w:pStyle w:val="Listenabsatz"/>
              <w:numPr>
                <w:ilvl w:val="0"/>
                <w:numId w:val="47"/>
              </w:numPr>
              <w:rPr>
                <w:iCs/>
                <w:sz w:val="20"/>
                <w:szCs w:val="20"/>
              </w:rPr>
            </w:pPr>
            <w:r w:rsidRPr="00CD7FF2">
              <w:rPr>
                <w:bCs/>
                <w:iCs/>
                <w:sz w:val="20"/>
                <w:szCs w:val="20"/>
              </w:rPr>
              <w:t>dadurch werden verschiedene intrazelluläre Signalketten ausgelöst</w:t>
            </w:r>
          </w:p>
        </w:tc>
        <w:tc>
          <w:tcPr>
            <w:tcW w:w="3392" w:type="dxa"/>
          </w:tcPr>
          <w:p w14:paraId="611AF72F" w14:textId="37B3C4A4" w:rsidR="00BD5785" w:rsidRPr="00CD7FF2" w:rsidRDefault="00BD5785" w:rsidP="00BD5785">
            <w:pPr>
              <w:pStyle w:val="Listenabsatz"/>
              <w:numPr>
                <w:ilvl w:val="0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 w:rsidRPr="00CD7FF2">
              <w:rPr>
                <w:iCs/>
                <w:color w:val="0070C0"/>
                <w:sz w:val="20"/>
                <w:szCs w:val="20"/>
              </w:rPr>
              <w:t>Basiskonzept Information und Kommunikation</w:t>
            </w:r>
          </w:p>
        </w:tc>
      </w:tr>
      <w:tr w:rsidR="00BD5785" w:rsidRPr="00CD7FF2" w14:paraId="536B05CA" w14:textId="77777777" w:rsidTr="00CD7FF2">
        <w:tc>
          <w:tcPr>
            <w:tcW w:w="5670" w:type="dxa"/>
          </w:tcPr>
          <w:p w14:paraId="587C8919" w14:textId="77777777" w:rsidR="00BD5785" w:rsidRPr="00DF4B06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sz w:val="20"/>
                <w:szCs w:val="20"/>
              </w:rPr>
            </w:pPr>
            <w:r w:rsidRPr="00DF4B06">
              <w:rPr>
                <w:bCs/>
                <w:iCs/>
                <w:sz w:val="20"/>
                <w:szCs w:val="20"/>
              </w:rPr>
              <w:t>dies bewirkt unter anderem eine Erhöhung der GLUT4-Menge in der Zellmembran der Zielzelle</w:t>
            </w:r>
          </w:p>
          <w:p w14:paraId="4A78D0F3" w14:textId="77777777" w:rsidR="00BD5785" w:rsidRPr="00DF4B06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sz w:val="20"/>
                <w:szCs w:val="20"/>
              </w:rPr>
            </w:pPr>
            <w:r w:rsidRPr="00DF4B06">
              <w:rPr>
                <w:bCs/>
                <w:iCs/>
                <w:sz w:val="20"/>
                <w:szCs w:val="20"/>
              </w:rPr>
              <w:t>GLUT4 ist ein Glucose-Carrier, der passiv Glucose in die Zelle transportiert</w:t>
            </w:r>
          </w:p>
          <w:p w14:paraId="35CFC6FA" w14:textId="77777777" w:rsidR="00BD5785" w:rsidRPr="00DF4B06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color w:val="0070C0"/>
                <w:sz w:val="20"/>
                <w:szCs w:val="20"/>
              </w:rPr>
            </w:pPr>
            <w:r w:rsidRPr="00DF4B06">
              <w:rPr>
                <w:bCs/>
                <w:iCs/>
                <w:color w:val="0070C0"/>
                <w:sz w:val="20"/>
                <w:szCs w:val="20"/>
              </w:rPr>
              <w:t>GLUT4 ist in Vesikeln der Muskel- und Fettzellen vorhanden</w:t>
            </w:r>
          </w:p>
          <w:p w14:paraId="63E9A0F4" w14:textId="77777777" w:rsidR="00BD5785" w:rsidRPr="00DF4B06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color w:val="0070C0"/>
                <w:sz w:val="20"/>
                <w:szCs w:val="20"/>
              </w:rPr>
            </w:pPr>
            <w:r w:rsidRPr="00DF4B06">
              <w:rPr>
                <w:bCs/>
                <w:iCs/>
                <w:color w:val="0070C0"/>
                <w:sz w:val="20"/>
                <w:szCs w:val="20"/>
              </w:rPr>
              <w:t>die Fusion dieser Vesikel mit der Zellmembran wird durch den aktivierten Insulinrezeptor über eine Signalkette vermittelt</w:t>
            </w:r>
          </w:p>
          <w:p w14:paraId="07CD81F9" w14:textId="440C04F6" w:rsidR="00BD5785" w:rsidRPr="00DF4B06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color w:val="0070C0"/>
                <w:sz w:val="20"/>
                <w:szCs w:val="20"/>
              </w:rPr>
            </w:pPr>
            <w:r w:rsidRPr="00DF4B06">
              <w:rPr>
                <w:bCs/>
                <w:iCs/>
                <w:color w:val="0070C0"/>
                <w:sz w:val="20"/>
                <w:szCs w:val="20"/>
              </w:rPr>
              <w:t>so kann schnell die Menge von GLUT4 in der Zellmembran erhöht werden</w:t>
            </w:r>
          </w:p>
          <w:p w14:paraId="7B30571D" w14:textId="4B8C273E" w:rsidR="00BD5785" w:rsidRPr="00DF4B06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color w:val="0070C0"/>
                <w:sz w:val="20"/>
                <w:szCs w:val="20"/>
              </w:rPr>
            </w:pPr>
            <w:r w:rsidRPr="00DF4B06">
              <w:rPr>
                <w:bCs/>
                <w:iCs/>
                <w:color w:val="0070C0"/>
                <w:sz w:val="20"/>
                <w:szCs w:val="20"/>
              </w:rPr>
              <w:t>bei niedrigem Insulinspiegel werden die GLUT4-Moleküle durch Endocytose wieder in die Zelle aufgenommen</w:t>
            </w:r>
          </w:p>
        </w:tc>
        <w:tc>
          <w:tcPr>
            <w:tcW w:w="3392" w:type="dxa"/>
          </w:tcPr>
          <w:p w14:paraId="26B977CE" w14:textId="77777777" w:rsidR="00BD5785" w:rsidRPr="00CD7FF2" w:rsidRDefault="00BD5785" w:rsidP="00BD5785">
            <w:pPr>
              <w:pStyle w:val="Listenabsatz"/>
              <w:numPr>
                <w:ilvl w:val="0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 w:rsidRPr="00CD7FF2">
              <w:rPr>
                <w:iCs/>
                <w:color w:val="0070C0"/>
                <w:sz w:val="20"/>
                <w:szCs w:val="20"/>
              </w:rPr>
              <w:t xml:space="preserve">Vorwissen zu </w:t>
            </w:r>
          </w:p>
          <w:p w14:paraId="7AFE7F85" w14:textId="3ECCD2C1" w:rsidR="00BD5785" w:rsidRPr="00CD7FF2" w:rsidRDefault="00BD5785" w:rsidP="00BD5785">
            <w:pPr>
              <w:pStyle w:val="Listenabsatz"/>
              <w:numPr>
                <w:ilvl w:val="1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proofErr w:type="spellStart"/>
            <w:r w:rsidRPr="00CD7FF2">
              <w:rPr>
                <w:iCs/>
                <w:color w:val="0070C0"/>
                <w:sz w:val="20"/>
                <w:szCs w:val="20"/>
              </w:rPr>
              <w:t>Exocytose</w:t>
            </w:r>
            <w:proofErr w:type="spellEnd"/>
            <w:r w:rsidRPr="00CD7FF2">
              <w:rPr>
                <w:iCs/>
                <w:color w:val="0070C0"/>
                <w:sz w:val="20"/>
                <w:szCs w:val="20"/>
              </w:rPr>
              <w:t xml:space="preserve"> und </w:t>
            </w:r>
            <w:proofErr w:type="spellStart"/>
            <w:r w:rsidRPr="00CD7FF2">
              <w:rPr>
                <w:iCs/>
                <w:color w:val="0070C0"/>
                <w:sz w:val="20"/>
                <w:szCs w:val="20"/>
              </w:rPr>
              <w:t>Endocytose</w:t>
            </w:r>
            <w:proofErr w:type="spellEnd"/>
            <w:r w:rsidRPr="00CD7FF2">
              <w:rPr>
                <w:iCs/>
                <w:color w:val="0070C0"/>
                <w:sz w:val="20"/>
                <w:szCs w:val="20"/>
              </w:rPr>
              <w:t>, Membranfluss</w:t>
            </w:r>
          </w:p>
          <w:p w14:paraId="088AE475" w14:textId="311791AC" w:rsidR="00BD5785" w:rsidRPr="00CD7FF2" w:rsidRDefault="00BD5785" w:rsidP="00BD5785">
            <w:pPr>
              <w:pStyle w:val="Listenabsatz"/>
              <w:numPr>
                <w:ilvl w:val="1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 w:rsidRPr="00CD7FF2">
              <w:rPr>
                <w:iCs/>
                <w:color w:val="0070C0"/>
                <w:sz w:val="20"/>
                <w:szCs w:val="20"/>
              </w:rPr>
              <w:t>Transportproteinen</w:t>
            </w:r>
          </w:p>
        </w:tc>
      </w:tr>
      <w:tr w:rsidR="00BD5785" w:rsidRPr="00CD7FF2" w14:paraId="0F2C0A4C" w14:textId="77777777" w:rsidTr="00CD7FF2">
        <w:tc>
          <w:tcPr>
            <w:tcW w:w="5670" w:type="dxa"/>
          </w:tcPr>
          <w:p w14:paraId="77AC7F75" w14:textId="30E13A73" w:rsidR="00BD5785" w:rsidRPr="00CD7FF2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sz w:val="20"/>
                <w:szCs w:val="20"/>
              </w:rPr>
            </w:pPr>
            <w:r w:rsidRPr="00CD7FF2">
              <w:rPr>
                <w:bCs/>
                <w:iCs/>
                <w:sz w:val="20"/>
                <w:szCs w:val="20"/>
              </w:rPr>
              <w:t>Senkung der Glucosekonzentration im Blut durch vermehrten Transport von Glucose in die Zelle</w:t>
            </w:r>
          </w:p>
        </w:tc>
        <w:tc>
          <w:tcPr>
            <w:tcW w:w="3392" w:type="dxa"/>
          </w:tcPr>
          <w:p w14:paraId="2FA2AF4E" w14:textId="4FD9DF23" w:rsidR="00BD5785" w:rsidRPr="00CD7FF2" w:rsidRDefault="00BD5785" w:rsidP="00BD5785">
            <w:pPr>
              <w:pStyle w:val="Listenabsatz"/>
              <w:numPr>
                <w:ilvl w:val="0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 w:rsidRPr="00CD7FF2">
              <w:rPr>
                <w:iCs/>
                <w:color w:val="0070C0"/>
                <w:sz w:val="20"/>
                <w:szCs w:val="20"/>
              </w:rPr>
              <w:t>Basiskonzept Information und Kommunikation</w:t>
            </w:r>
          </w:p>
        </w:tc>
      </w:tr>
      <w:tr w:rsidR="00BD5785" w:rsidRPr="00CD7FF2" w14:paraId="30F13987" w14:textId="77777777" w:rsidTr="00CD7FF2">
        <w:tc>
          <w:tcPr>
            <w:tcW w:w="5670" w:type="dxa"/>
          </w:tcPr>
          <w:p w14:paraId="2AFCA883" w14:textId="071D7CF2" w:rsidR="00BD5785" w:rsidRPr="00E97E69" w:rsidRDefault="00BD5785" w:rsidP="00BD5785">
            <w:pPr>
              <w:pStyle w:val="Listenabsatz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E97E69">
              <w:rPr>
                <w:bCs/>
                <w:iCs/>
                <w:sz w:val="20"/>
                <w:szCs w:val="20"/>
              </w:rPr>
              <w:t>erhöhte Glykogensynthese in Muskelzellen</w:t>
            </w:r>
          </w:p>
          <w:p w14:paraId="3FCA912E" w14:textId="69DD39F4" w:rsidR="00BD5785" w:rsidRPr="00E97E69" w:rsidRDefault="00BD5785" w:rsidP="00BD5785">
            <w:pPr>
              <w:pStyle w:val="Listenabsatz"/>
              <w:numPr>
                <w:ilvl w:val="0"/>
                <w:numId w:val="47"/>
              </w:numPr>
              <w:rPr>
                <w:bCs/>
                <w:iCs/>
                <w:color w:val="0070C0"/>
                <w:sz w:val="20"/>
                <w:szCs w:val="20"/>
              </w:rPr>
            </w:pPr>
            <w:r w:rsidRPr="00E97E69">
              <w:rPr>
                <w:bCs/>
                <w:iCs/>
                <w:color w:val="0070C0"/>
                <w:sz w:val="20"/>
                <w:szCs w:val="20"/>
              </w:rPr>
              <w:t>Umwandlung von Glucose in Triglyceride in Fettzellen</w:t>
            </w:r>
          </w:p>
        </w:tc>
        <w:tc>
          <w:tcPr>
            <w:tcW w:w="3392" w:type="dxa"/>
          </w:tcPr>
          <w:p w14:paraId="59306721" w14:textId="10A16D5C" w:rsidR="00BD5785" w:rsidRPr="00CD7FF2" w:rsidRDefault="00CD7FF2" w:rsidP="00BD5785">
            <w:pPr>
              <w:pStyle w:val="Listenabsatz"/>
              <w:numPr>
                <w:ilvl w:val="0"/>
                <w:numId w:val="47"/>
              </w:numPr>
              <w:rPr>
                <w:iCs/>
                <w:color w:val="0070C0"/>
                <w:sz w:val="20"/>
                <w:szCs w:val="20"/>
              </w:rPr>
            </w:pPr>
            <w:r>
              <w:rPr>
                <w:iCs/>
                <w:color w:val="0070C0"/>
                <w:sz w:val="20"/>
                <w:szCs w:val="20"/>
              </w:rPr>
              <w:t>Vorwissen zu Kohlenhydraten und osmotischem Wert</w:t>
            </w:r>
          </w:p>
        </w:tc>
      </w:tr>
    </w:tbl>
    <w:p w14:paraId="04139226" w14:textId="77777777" w:rsidR="00E97E69" w:rsidRDefault="00E97E69" w:rsidP="001C0B1C">
      <w:pPr>
        <w:rPr>
          <w:iCs/>
        </w:rPr>
      </w:pPr>
    </w:p>
    <w:p w14:paraId="29CA5AEA" w14:textId="372E3E2A" w:rsidR="00DF4B06" w:rsidRPr="001C0B1C" w:rsidRDefault="00DF4B06" w:rsidP="001C0B1C">
      <w:pPr>
        <w:rPr>
          <w:iCs/>
        </w:rPr>
      </w:pPr>
      <w:r>
        <w:rPr>
          <w:iCs/>
        </w:rPr>
        <w:t>Am Beispiel dieser vereinfachten Signaltransduktion kann das Vorwissen der Lerngruppe</w:t>
      </w:r>
      <w:r w:rsidR="00E97E69">
        <w:rPr>
          <w:iCs/>
        </w:rPr>
        <w:t xml:space="preserve"> aus unterschiedlichen Bereichen</w:t>
      </w:r>
      <w:r>
        <w:rPr>
          <w:iCs/>
        </w:rPr>
        <w:t xml:space="preserve"> eingebunden und so vertiefend angewendet werden. </w:t>
      </w:r>
    </w:p>
    <w:sectPr w:rsidR="00DF4B06" w:rsidRPr="001C0B1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4C0A7" w14:textId="77777777" w:rsidR="00531DC8" w:rsidRDefault="00531DC8" w:rsidP="008A10E4">
      <w:pPr>
        <w:spacing w:after="0" w:line="240" w:lineRule="auto"/>
      </w:pPr>
      <w:r>
        <w:separator/>
      </w:r>
    </w:p>
  </w:endnote>
  <w:endnote w:type="continuationSeparator" w:id="0">
    <w:p w14:paraId="1D2CBEDC" w14:textId="77777777" w:rsidR="00531DC8" w:rsidRDefault="00531DC8" w:rsidP="008A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EA0E0" w14:textId="77777777" w:rsidR="00DD2228" w:rsidRPr="00DD2228" w:rsidRDefault="00DD2228" w:rsidP="00DD22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36273" w14:textId="77777777" w:rsidR="00531DC8" w:rsidRDefault="00531DC8" w:rsidP="008A10E4">
      <w:pPr>
        <w:spacing w:after="0" w:line="240" w:lineRule="auto"/>
      </w:pPr>
      <w:r>
        <w:separator/>
      </w:r>
    </w:p>
  </w:footnote>
  <w:footnote w:type="continuationSeparator" w:id="0">
    <w:p w14:paraId="6E73CDAC" w14:textId="77777777" w:rsidR="00531DC8" w:rsidRDefault="00531DC8" w:rsidP="008A1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8B700D"/>
    <w:multiLevelType w:val="hybridMultilevel"/>
    <w:tmpl w:val="C1BE1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40185"/>
    <w:multiLevelType w:val="hybridMultilevel"/>
    <w:tmpl w:val="FA902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41A60"/>
    <w:multiLevelType w:val="hybridMultilevel"/>
    <w:tmpl w:val="18CA746E"/>
    <w:lvl w:ilvl="0" w:tplc="20B407D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C0A7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489C1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7C915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CA63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34FF9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AFBD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52439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0F43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90A79AE"/>
    <w:multiLevelType w:val="hybridMultilevel"/>
    <w:tmpl w:val="BA84C9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5C0A0F"/>
    <w:multiLevelType w:val="hybridMultilevel"/>
    <w:tmpl w:val="34646C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84B25"/>
    <w:multiLevelType w:val="multilevel"/>
    <w:tmpl w:val="12F0084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0B711F94"/>
    <w:multiLevelType w:val="hybridMultilevel"/>
    <w:tmpl w:val="5F129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125DA"/>
    <w:multiLevelType w:val="hybridMultilevel"/>
    <w:tmpl w:val="CEB8E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13B57"/>
    <w:multiLevelType w:val="hybridMultilevel"/>
    <w:tmpl w:val="DC68FD5A"/>
    <w:numStyleLink w:val="Strich"/>
  </w:abstractNum>
  <w:abstractNum w:abstractNumId="12" w15:restartNumberingAfterBreak="0">
    <w:nsid w:val="0D4C4A54"/>
    <w:multiLevelType w:val="hybridMultilevel"/>
    <w:tmpl w:val="7CBE1D5A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0F914ECB"/>
    <w:multiLevelType w:val="hybridMultilevel"/>
    <w:tmpl w:val="1F5EE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62731"/>
    <w:multiLevelType w:val="hybridMultilevel"/>
    <w:tmpl w:val="29A04678"/>
    <w:lvl w:ilvl="0" w:tplc="DAC207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3B2715"/>
    <w:multiLevelType w:val="hybridMultilevel"/>
    <w:tmpl w:val="366C1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C5E33"/>
    <w:multiLevelType w:val="hybridMultilevel"/>
    <w:tmpl w:val="3F1C71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90B34"/>
    <w:multiLevelType w:val="hybridMultilevel"/>
    <w:tmpl w:val="12A6E4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0A1FAC"/>
    <w:multiLevelType w:val="hybridMultilevel"/>
    <w:tmpl w:val="73EC9250"/>
    <w:lvl w:ilvl="0" w:tplc="8DE2A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75E1"/>
    <w:multiLevelType w:val="hybridMultilevel"/>
    <w:tmpl w:val="2D5EC7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FE5D8B"/>
    <w:multiLevelType w:val="hybridMultilevel"/>
    <w:tmpl w:val="B650A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227470"/>
    <w:multiLevelType w:val="hybridMultilevel"/>
    <w:tmpl w:val="8BB061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130FC"/>
    <w:multiLevelType w:val="hybridMultilevel"/>
    <w:tmpl w:val="003C757E"/>
    <w:lvl w:ilvl="0" w:tplc="C492A5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D4BD66">
      <w:start w:val="18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4F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C6D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C600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68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6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8D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F60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42980"/>
    <w:multiLevelType w:val="hybridMultilevel"/>
    <w:tmpl w:val="92A424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6F20D1"/>
    <w:multiLevelType w:val="hybridMultilevel"/>
    <w:tmpl w:val="D3F059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9B48D0"/>
    <w:multiLevelType w:val="hybridMultilevel"/>
    <w:tmpl w:val="4A400452"/>
    <w:lvl w:ilvl="0" w:tplc="1EFC2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AA5F2">
      <w:start w:val="18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B0D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08B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4A04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EAF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E3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02B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744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63333"/>
    <w:multiLevelType w:val="hybridMultilevel"/>
    <w:tmpl w:val="D71E48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934B44"/>
    <w:multiLevelType w:val="hybridMultilevel"/>
    <w:tmpl w:val="712E5F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8B7A84"/>
    <w:multiLevelType w:val="hybridMultilevel"/>
    <w:tmpl w:val="8AD6C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44D12"/>
    <w:multiLevelType w:val="hybridMultilevel"/>
    <w:tmpl w:val="F81CD3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2C1B0D"/>
    <w:multiLevelType w:val="hybridMultilevel"/>
    <w:tmpl w:val="DC68FD5A"/>
    <w:styleLink w:val="Strich"/>
    <w:lvl w:ilvl="0" w:tplc="07E2EC6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B37ADA3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B4C6C7D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C6018C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27E8581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BEA3E2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7B6480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E2175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0FA704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1" w15:restartNumberingAfterBreak="0">
    <w:nsid w:val="52427C54"/>
    <w:multiLevelType w:val="hybridMultilevel"/>
    <w:tmpl w:val="0D54C5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17A7"/>
    <w:multiLevelType w:val="hybridMultilevel"/>
    <w:tmpl w:val="487C0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80887"/>
    <w:multiLevelType w:val="hybridMultilevel"/>
    <w:tmpl w:val="84A41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3710C"/>
    <w:multiLevelType w:val="hybridMultilevel"/>
    <w:tmpl w:val="70B06A9E"/>
    <w:lvl w:ilvl="0" w:tplc="67C68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C21AF"/>
    <w:multiLevelType w:val="hybridMultilevel"/>
    <w:tmpl w:val="854E97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8721BC"/>
    <w:multiLevelType w:val="hybridMultilevel"/>
    <w:tmpl w:val="AF04C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10B44"/>
    <w:multiLevelType w:val="hybridMultilevel"/>
    <w:tmpl w:val="C4A802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0523CB"/>
    <w:multiLevelType w:val="hybridMultilevel"/>
    <w:tmpl w:val="C07278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55F0D"/>
    <w:multiLevelType w:val="hybridMultilevel"/>
    <w:tmpl w:val="5A5AB102"/>
    <w:lvl w:ilvl="0" w:tplc="340E6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B1DC7"/>
    <w:multiLevelType w:val="hybridMultilevel"/>
    <w:tmpl w:val="1A1AD2F4"/>
    <w:lvl w:ilvl="0" w:tplc="66926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45EF"/>
    <w:multiLevelType w:val="hybridMultilevel"/>
    <w:tmpl w:val="4EA0C1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691E30"/>
    <w:multiLevelType w:val="hybridMultilevel"/>
    <w:tmpl w:val="BA7A8FC0"/>
    <w:lvl w:ilvl="0" w:tplc="52DA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567DD"/>
    <w:multiLevelType w:val="hybridMultilevel"/>
    <w:tmpl w:val="A2E6D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5030B"/>
    <w:multiLevelType w:val="hybridMultilevel"/>
    <w:tmpl w:val="95A081D6"/>
    <w:lvl w:ilvl="0" w:tplc="D048F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29EC"/>
    <w:multiLevelType w:val="hybridMultilevel"/>
    <w:tmpl w:val="E996DC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73491C"/>
    <w:multiLevelType w:val="hybridMultilevel"/>
    <w:tmpl w:val="140EE46E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14"/>
  </w:num>
  <w:num w:numId="4">
    <w:abstractNumId w:val="32"/>
  </w:num>
  <w:num w:numId="5">
    <w:abstractNumId w:val="44"/>
  </w:num>
  <w:num w:numId="6">
    <w:abstractNumId w:val="2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42"/>
  </w:num>
  <w:num w:numId="14">
    <w:abstractNumId w:val="25"/>
  </w:num>
  <w:num w:numId="15">
    <w:abstractNumId w:val="22"/>
  </w:num>
  <w:num w:numId="16">
    <w:abstractNumId w:val="10"/>
  </w:num>
  <w:num w:numId="17">
    <w:abstractNumId w:val="37"/>
  </w:num>
  <w:num w:numId="18">
    <w:abstractNumId w:val="19"/>
  </w:num>
  <w:num w:numId="19">
    <w:abstractNumId w:val="13"/>
  </w:num>
  <w:num w:numId="20">
    <w:abstractNumId w:val="26"/>
  </w:num>
  <w:num w:numId="21">
    <w:abstractNumId w:val="34"/>
  </w:num>
  <w:num w:numId="22">
    <w:abstractNumId w:val="18"/>
  </w:num>
  <w:num w:numId="23">
    <w:abstractNumId w:val="33"/>
  </w:num>
  <w:num w:numId="24">
    <w:abstractNumId w:val="9"/>
  </w:num>
  <w:num w:numId="25">
    <w:abstractNumId w:val="43"/>
  </w:num>
  <w:num w:numId="26">
    <w:abstractNumId w:val="17"/>
  </w:num>
  <w:num w:numId="27">
    <w:abstractNumId w:val="28"/>
  </w:num>
  <w:num w:numId="28">
    <w:abstractNumId w:val="30"/>
  </w:num>
  <w:num w:numId="29">
    <w:abstractNumId w:val="11"/>
  </w:num>
  <w:num w:numId="30">
    <w:abstractNumId w:val="45"/>
  </w:num>
  <w:num w:numId="31">
    <w:abstractNumId w:val="27"/>
  </w:num>
  <w:num w:numId="32">
    <w:abstractNumId w:val="5"/>
  </w:num>
  <w:num w:numId="33">
    <w:abstractNumId w:val="21"/>
  </w:num>
  <w:num w:numId="34">
    <w:abstractNumId w:val="38"/>
  </w:num>
  <w:num w:numId="35">
    <w:abstractNumId w:val="40"/>
  </w:num>
  <w:num w:numId="36">
    <w:abstractNumId w:val="31"/>
  </w:num>
  <w:num w:numId="37">
    <w:abstractNumId w:val="12"/>
  </w:num>
  <w:num w:numId="38">
    <w:abstractNumId w:val="20"/>
  </w:num>
  <w:num w:numId="39">
    <w:abstractNumId w:val="46"/>
  </w:num>
  <w:num w:numId="40">
    <w:abstractNumId w:val="4"/>
  </w:num>
  <w:num w:numId="41">
    <w:abstractNumId w:val="3"/>
  </w:num>
  <w:num w:numId="42">
    <w:abstractNumId w:val="41"/>
  </w:num>
  <w:num w:numId="43">
    <w:abstractNumId w:val="29"/>
  </w:num>
  <w:num w:numId="44">
    <w:abstractNumId w:val="16"/>
  </w:num>
  <w:num w:numId="45">
    <w:abstractNumId w:val="24"/>
  </w:num>
  <w:num w:numId="46">
    <w:abstractNumId w:val="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CF"/>
    <w:rsid w:val="00003BAF"/>
    <w:rsid w:val="000053CB"/>
    <w:rsid w:val="00012580"/>
    <w:rsid w:val="00033636"/>
    <w:rsid w:val="000371E3"/>
    <w:rsid w:val="00051419"/>
    <w:rsid w:val="00052DA3"/>
    <w:rsid w:val="0005462A"/>
    <w:rsid w:val="000546F6"/>
    <w:rsid w:val="00055C40"/>
    <w:rsid w:val="00056195"/>
    <w:rsid w:val="00057FE5"/>
    <w:rsid w:val="00067AE6"/>
    <w:rsid w:val="0008456E"/>
    <w:rsid w:val="000873C7"/>
    <w:rsid w:val="00087875"/>
    <w:rsid w:val="000A413A"/>
    <w:rsid w:val="000A6E6C"/>
    <w:rsid w:val="000C74A9"/>
    <w:rsid w:val="000D32FD"/>
    <w:rsid w:val="000D396D"/>
    <w:rsid w:val="000E17B6"/>
    <w:rsid w:val="000F1E54"/>
    <w:rsid w:val="001063B8"/>
    <w:rsid w:val="00113FD7"/>
    <w:rsid w:val="00116D04"/>
    <w:rsid w:val="00120B06"/>
    <w:rsid w:val="00124CDC"/>
    <w:rsid w:val="00124FA5"/>
    <w:rsid w:val="00125260"/>
    <w:rsid w:val="001357AB"/>
    <w:rsid w:val="0013593E"/>
    <w:rsid w:val="001536D5"/>
    <w:rsid w:val="001549B0"/>
    <w:rsid w:val="00165198"/>
    <w:rsid w:val="00180D07"/>
    <w:rsid w:val="0018775A"/>
    <w:rsid w:val="00190C24"/>
    <w:rsid w:val="0019271B"/>
    <w:rsid w:val="001977D5"/>
    <w:rsid w:val="001A247E"/>
    <w:rsid w:val="001B15DF"/>
    <w:rsid w:val="001B1B21"/>
    <w:rsid w:val="001B1E31"/>
    <w:rsid w:val="001C0B1C"/>
    <w:rsid w:val="001D0601"/>
    <w:rsid w:val="001D125B"/>
    <w:rsid w:val="001D6703"/>
    <w:rsid w:val="001E4127"/>
    <w:rsid w:val="001E494B"/>
    <w:rsid w:val="001F496F"/>
    <w:rsid w:val="00204DEF"/>
    <w:rsid w:val="00214C4A"/>
    <w:rsid w:val="002151F7"/>
    <w:rsid w:val="002464C9"/>
    <w:rsid w:val="002474D7"/>
    <w:rsid w:val="00252969"/>
    <w:rsid w:val="002614D7"/>
    <w:rsid w:val="00262FFE"/>
    <w:rsid w:val="00277A91"/>
    <w:rsid w:val="002850F2"/>
    <w:rsid w:val="00290864"/>
    <w:rsid w:val="00292367"/>
    <w:rsid w:val="00292FF5"/>
    <w:rsid w:val="002B3768"/>
    <w:rsid w:val="002B55BF"/>
    <w:rsid w:val="002B7104"/>
    <w:rsid w:val="002B78BD"/>
    <w:rsid w:val="002C1A99"/>
    <w:rsid w:val="002C2010"/>
    <w:rsid w:val="002D74D6"/>
    <w:rsid w:val="002E6954"/>
    <w:rsid w:val="0030311C"/>
    <w:rsid w:val="003042C1"/>
    <w:rsid w:val="00304FE8"/>
    <w:rsid w:val="00311139"/>
    <w:rsid w:val="003206B9"/>
    <w:rsid w:val="00320B0E"/>
    <w:rsid w:val="003221DD"/>
    <w:rsid w:val="00327C20"/>
    <w:rsid w:val="0033088B"/>
    <w:rsid w:val="00332942"/>
    <w:rsid w:val="003349D4"/>
    <w:rsid w:val="00334EC1"/>
    <w:rsid w:val="00340E25"/>
    <w:rsid w:val="003433A4"/>
    <w:rsid w:val="00343E2C"/>
    <w:rsid w:val="00351A4D"/>
    <w:rsid w:val="003542D7"/>
    <w:rsid w:val="0036119B"/>
    <w:rsid w:val="0036796D"/>
    <w:rsid w:val="003817C0"/>
    <w:rsid w:val="00397476"/>
    <w:rsid w:val="003A1BED"/>
    <w:rsid w:val="003B1FC7"/>
    <w:rsid w:val="003B7B40"/>
    <w:rsid w:val="003C1FEA"/>
    <w:rsid w:val="003C2CE6"/>
    <w:rsid w:val="003C5698"/>
    <w:rsid w:val="003C612C"/>
    <w:rsid w:val="003D7E60"/>
    <w:rsid w:val="003E0652"/>
    <w:rsid w:val="003E0F04"/>
    <w:rsid w:val="003E307E"/>
    <w:rsid w:val="003F0648"/>
    <w:rsid w:val="003F1C83"/>
    <w:rsid w:val="003F5101"/>
    <w:rsid w:val="003F54C8"/>
    <w:rsid w:val="003F6669"/>
    <w:rsid w:val="00401A68"/>
    <w:rsid w:val="00401BF6"/>
    <w:rsid w:val="004127B6"/>
    <w:rsid w:val="004167B5"/>
    <w:rsid w:val="0042290C"/>
    <w:rsid w:val="00427908"/>
    <w:rsid w:val="00430D56"/>
    <w:rsid w:val="00436125"/>
    <w:rsid w:val="00442FB4"/>
    <w:rsid w:val="00443679"/>
    <w:rsid w:val="00444AE0"/>
    <w:rsid w:val="00452642"/>
    <w:rsid w:val="00462D6B"/>
    <w:rsid w:val="004801F8"/>
    <w:rsid w:val="00480883"/>
    <w:rsid w:val="00480ADA"/>
    <w:rsid w:val="004866E6"/>
    <w:rsid w:val="004933B6"/>
    <w:rsid w:val="0049515B"/>
    <w:rsid w:val="004A266C"/>
    <w:rsid w:val="004A70FB"/>
    <w:rsid w:val="004B325D"/>
    <w:rsid w:val="004C2672"/>
    <w:rsid w:val="004C5A70"/>
    <w:rsid w:val="004D6FED"/>
    <w:rsid w:val="004E372A"/>
    <w:rsid w:val="004E46F7"/>
    <w:rsid w:val="004E5F73"/>
    <w:rsid w:val="004F6E14"/>
    <w:rsid w:val="004F6F2C"/>
    <w:rsid w:val="00500F20"/>
    <w:rsid w:val="00505020"/>
    <w:rsid w:val="00512E8B"/>
    <w:rsid w:val="0052055D"/>
    <w:rsid w:val="00520E44"/>
    <w:rsid w:val="00531DC8"/>
    <w:rsid w:val="00533D10"/>
    <w:rsid w:val="00535511"/>
    <w:rsid w:val="00543F1B"/>
    <w:rsid w:val="005506FE"/>
    <w:rsid w:val="005557F1"/>
    <w:rsid w:val="00563610"/>
    <w:rsid w:val="005734EC"/>
    <w:rsid w:val="005759FB"/>
    <w:rsid w:val="00581477"/>
    <w:rsid w:val="00582987"/>
    <w:rsid w:val="005939B6"/>
    <w:rsid w:val="00594D65"/>
    <w:rsid w:val="00597FF3"/>
    <w:rsid w:val="005B1278"/>
    <w:rsid w:val="005B1A48"/>
    <w:rsid w:val="005B66F7"/>
    <w:rsid w:val="005C2369"/>
    <w:rsid w:val="005C5776"/>
    <w:rsid w:val="005D0D72"/>
    <w:rsid w:val="005E2C3E"/>
    <w:rsid w:val="005E3558"/>
    <w:rsid w:val="00601BB2"/>
    <w:rsid w:val="006049F3"/>
    <w:rsid w:val="006113BF"/>
    <w:rsid w:val="0061463A"/>
    <w:rsid w:val="00616F48"/>
    <w:rsid w:val="0062343C"/>
    <w:rsid w:val="00632A98"/>
    <w:rsid w:val="0064411C"/>
    <w:rsid w:val="00651098"/>
    <w:rsid w:val="006522E1"/>
    <w:rsid w:val="006526B3"/>
    <w:rsid w:val="00661DF5"/>
    <w:rsid w:val="00663147"/>
    <w:rsid w:val="00663BB1"/>
    <w:rsid w:val="00671CE0"/>
    <w:rsid w:val="00681FCD"/>
    <w:rsid w:val="0068371F"/>
    <w:rsid w:val="00683F53"/>
    <w:rsid w:val="00691DEB"/>
    <w:rsid w:val="006A0B0F"/>
    <w:rsid w:val="006A1EDF"/>
    <w:rsid w:val="006B3C99"/>
    <w:rsid w:val="006B70C3"/>
    <w:rsid w:val="006C3DE9"/>
    <w:rsid w:val="006D4735"/>
    <w:rsid w:val="006E0651"/>
    <w:rsid w:val="006E3CE5"/>
    <w:rsid w:val="006F35A3"/>
    <w:rsid w:val="00713763"/>
    <w:rsid w:val="0071482E"/>
    <w:rsid w:val="007201DA"/>
    <w:rsid w:val="007205B9"/>
    <w:rsid w:val="00732E13"/>
    <w:rsid w:val="00734F44"/>
    <w:rsid w:val="00737AE1"/>
    <w:rsid w:val="00747BEC"/>
    <w:rsid w:val="007503D9"/>
    <w:rsid w:val="00753EC7"/>
    <w:rsid w:val="007717C9"/>
    <w:rsid w:val="00772A1D"/>
    <w:rsid w:val="0077398A"/>
    <w:rsid w:val="00775A46"/>
    <w:rsid w:val="007818D5"/>
    <w:rsid w:val="00786637"/>
    <w:rsid w:val="007947CF"/>
    <w:rsid w:val="007A4ABA"/>
    <w:rsid w:val="007A6212"/>
    <w:rsid w:val="007B35D0"/>
    <w:rsid w:val="007C6640"/>
    <w:rsid w:val="007E1CD8"/>
    <w:rsid w:val="007E27BD"/>
    <w:rsid w:val="007F1169"/>
    <w:rsid w:val="007F7CA4"/>
    <w:rsid w:val="00802998"/>
    <w:rsid w:val="00836E2C"/>
    <w:rsid w:val="00840E32"/>
    <w:rsid w:val="008537A8"/>
    <w:rsid w:val="00854B97"/>
    <w:rsid w:val="00861168"/>
    <w:rsid w:val="00861B73"/>
    <w:rsid w:val="00862ACE"/>
    <w:rsid w:val="00873726"/>
    <w:rsid w:val="0088462E"/>
    <w:rsid w:val="008A10E4"/>
    <w:rsid w:val="008A635F"/>
    <w:rsid w:val="008A6B6C"/>
    <w:rsid w:val="008B0C41"/>
    <w:rsid w:val="008B29C1"/>
    <w:rsid w:val="008B4C84"/>
    <w:rsid w:val="008C60E5"/>
    <w:rsid w:val="008C7D09"/>
    <w:rsid w:val="008D53D8"/>
    <w:rsid w:val="008E4D42"/>
    <w:rsid w:val="008E54B7"/>
    <w:rsid w:val="008F29BA"/>
    <w:rsid w:val="00900E22"/>
    <w:rsid w:val="0090469B"/>
    <w:rsid w:val="00914E59"/>
    <w:rsid w:val="0092281C"/>
    <w:rsid w:val="00930A6A"/>
    <w:rsid w:val="0093377F"/>
    <w:rsid w:val="00935DD4"/>
    <w:rsid w:val="00941AF0"/>
    <w:rsid w:val="00942461"/>
    <w:rsid w:val="009424B1"/>
    <w:rsid w:val="009469A7"/>
    <w:rsid w:val="00960464"/>
    <w:rsid w:val="00961D62"/>
    <w:rsid w:val="009639B9"/>
    <w:rsid w:val="00987455"/>
    <w:rsid w:val="00992925"/>
    <w:rsid w:val="009937FC"/>
    <w:rsid w:val="009A1918"/>
    <w:rsid w:val="009B1EBE"/>
    <w:rsid w:val="009B2750"/>
    <w:rsid w:val="009B7C84"/>
    <w:rsid w:val="009C6C26"/>
    <w:rsid w:val="009C72E1"/>
    <w:rsid w:val="009C75C3"/>
    <w:rsid w:val="009D1678"/>
    <w:rsid w:val="009D17BD"/>
    <w:rsid w:val="009D4C8C"/>
    <w:rsid w:val="009E0C3E"/>
    <w:rsid w:val="009E1770"/>
    <w:rsid w:val="009F06A2"/>
    <w:rsid w:val="00A04ED2"/>
    <w:rsid w:val="00A10835"/>
    <w:rsid w:val="00A16789"/>
    <w:rsid w:val="00A20D78"/>
    <w:rsid w:val="00A21485"/>
    <w:rsid w:val="00A3298C"/>
    <w:rsid w:val="00A34324"/>
    <w:rsid w:val="00A3789F"/>
    <w:rsid w:val="00A4225C"/>
    <w:rsid w:val="00A43B53"/>
    <w:rsid w:val="00A45CF6"/>
    <w:rsid w:val="00A71612"/>
    <w:rsid w:val="00A761CA"/>
    <w:rsid w:val="00A913B2"/>
    <w:rsid w:val="00A914AC"/>
    <w:rsid w:val="00A91FA2"/>
    <w:rsid w:val="00A92E2E"/>
    <w:rsid w:val="00AA59D7"/>
    <w:rsid w:val="00AA798A"/>
    <w:rsid w:val="00AB2A96"/>
    <w:rsid w:val="00AC1042"/>
    <w:rsid w:val="00AC404F"/>
    <w:rsid w:val="00AC59A5"/>
    <w:rsid w:val="00AE0400"/>
    <w:rsid w:val="00AE0D22"/>
    <w:rsid w:val="00AE1092"/>
    <w:rsid w:val="00AE77A2"/>
    <w:rsid w:val="00AE7E56"/>
    <w:rsid w:val="00AF06C2"/>
    <w:rsid w:val="00B0001D"/>
    <w:rsid w:val="00B25F28"/>
    <w:rsid w:val="00B3103A"/>
    <w:rsid w:val="00B3119C"/>
    <w:rsid w:val="00B31D63"/>
    <w:rsid w:val="00B46772"/>
    <w:rsid w:val="00B7714A"/>
    <w:rsid w:val="00B95D09"/>
    <w:rsid w:val="00BA4D7A"/>
    <w:rsid w:val="00BA7FBD"/>
    <w:rsid w:val="00BB11DA"/>
    <w:rsid w:val="00BB3DCB"/>
    <w:rsid w:val="00BD035E"/>
    <w:rsid w:val="00BD3BB4"/>
    <w:rsid w:val="00BD4B57"/>
    <w:rsid w:val="00BD5785"/>
    <w:rsid w:val="00BD70AD"/>
    <w:rsid w:val="00BE324D"/>
    <w:rsid w:val="00BE5307"/>
    <w:rsid w:val="00BF7133"/>
    <w:rsid w:val="00C10AF2"/>
    <w:rsid w:val="00C11086"/>
    <w:rsid w:val="00C121B3"/>
    <w:rsid w:val="00C15030"/>
    <w:rsid w:val="00C15DA7"/>
    <w:rsid w:val="00C16A28"/>
    <w:rsid w:val="00C25DA4"/>
    <w:rsid w:val="00C2755E"/>
    <w:rsid w:val="00C30467"/>
    <w:rsid w:val="00C30B54"/>
    <w:rsid w:val="00C43DE2"/>
    <w:rsid w:val="00C44CAA"/>
    <w:rsid w:val="00C46EA0"/>
    <w:rsid w:val="00C57C73"/>
    <w:rsid w:val="00C652EA"/>
    <w:rsid w:val="00C70EAF"/>
    <w:rsid w:val="00C75938"/>
    <w:rsid w:val="00CB4052"/>
    <w:rsid w:val="00CB4B2F"/>
    <w:rsid w:val="00CC33A1"/>
    <w:rsid w:val="00CC7762"/>
    <w:rsid w:val="00CD6C31"/>
    <w:rsid w:val="00CD7FF2"/>
    <w:rsid w:val="00CE0EB2"/>
    <w:rsid w:val="00CE1190"/>
    <w:rsid w:val="00CE2662"/>
    <w:rsid w:val="00CF0032"/>
    <w:rsid w:val="00CF35E4"/>
    <w:rsid w:val="00CF42CC"/>
    <w:rsid w:val="00CF5578"/>
    <w:rsid w:val="00CF62D7"/>
    <w:rsid w:val="00CF71CB"/>
    <w:rsid w:val="00D10388"/>
    <w:rsid w:val="00D254EF"/>
    <w:rsid w:val="00D27B46"/>
    <w:rsid w:val="00D34C92"/>
    <w:rsid w:val="00D40C43"/>
    <w:rsid w:val="00D422CC"/>
    <w:rsid w:val="00D43596"/>
    <w:rsid w:val="00D4637A"/>
    <w:rsid w:val="00D645CA"/>
    <w:rsid w:val="00D733FB"/>
    <w:rsid w:val="00D742C5"/>
    <w:rsid w:val="00D744C2"/>
    <w:rsid w:val="00D94526"/>
    <w:rsid w:val="00D94FE8"/>
    <w:rsid w:val="00D9650B"/>
    <w:rsid w:val="00DA5C5F"/>
    <w:rsid w:val="00DA6C58"/>
    <w:rsid w:val="00DA6DD5"/>
    <w:rsid w:val="00DA7CE8"/>
    <w:rsid w:val="00DB2FB5"/>
    <w:rsid w:val="00DB4FA2"/>
    <w:rsid w:val="00DC05D6"/>
    <w:rsid w:val="00DC0618"/>
    <w:rsid w:val="00DC7D40"/>
    <w:rsid w:val="00DD2228"/>
    <w:rsid w:val="00DE065E"/>
    <w:rsid w:val="00DE2F8E"/>
    <w:rsid w:val="00DF031B"/>
    <w:rsid w:val="00DF4B06"/>
    <w:rsid w:val="00DF5238"/>
    <w:rsid w:val="00E04440"/>
    <w:rsid w:val="00E07310"/>
    <w:rsid w:val="00E222A9"/>
    <w:rsid w:val="00E252C7"/>
    <w:rsid w:val="00E306B6"/>
    <w:rsid w:val="00E31437"/>
    <w:rsid w:val="00E420F7"/>
    <w:rsid w:val="00E5475D"/>
    <w:rsid w:val="00E54E9A"/>
    <w:rsid w:val="00E62CFB"/>
    <w:rsid w:val="00E80504"/>
    <w:rsid w:val="00E85C54"/>
    <w:rsid w:val="00E8749B"/>
    <w:rsid w:val="00E91BCF"/>
    <w:rsid w:val="00E95B66"/>
    <w:rsid w:val="00E97E69"/>
    <w:rsid w:val="00EA4759"/>
    <w:rsid w:val="00EB0130"/>
    <w:rsid w:val="00EB6C21"/>
    <w:rsid w:val="00EE1F87"/>
    <w:rsid w:val="00EE26FD"/>
    <w:rsid w:val="00EE57CD"/>
    <w:rsid w:val="00EE59CD"/>
    <w:rsid w:val="00EF1345"/>
    <w:rsid w:val="00EF6819"/>
    <w:rsid w:val="00F067F9"/>
    <w:rsid w:val="00F1078F"/>
    <w:rsid w:val="00F11790"/>
    <w:rsid w:val="00F13756"/>
    <w:rsid w:val="00F27FFB"/>
    <w:rsid w:val="00F3469D"/>
    <w:rsid w:val="00F43311"/>
    <w:rsid w:val="00F47F44"/>
    <w:rsid w:val="00F7063C"/>
    <w:rsid w:val="00F749AC"/>
    <w:rsid w:val="00F8667A"/>
    <w:rsid w:val="00FA03F9"/>
    <w:rsid w:val="00FA1CC7"/>
    <w:rsid w:val="00FB3795"/>
    <w:rsid w:val="00FB696F"/>
    <w:rsid w:val="00FC0CA0"/>
    <w:rsid w:val="00FC629E"/>
    <w:rsid w:val="00FC6591"/>
    <w:rsid w:val="00FC694F"/>
    <w:rsid w:val="00FC79F7"/>
    <w:rsid w:val="00FD2E89"/>
    <w:rsid w:val="00FD65B4"/>
    <w:rsid w:val="00FD6F24"/>
    <w:rsid w:val="00FE1E20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2C9EB"/>
  <w15:chartTrackingRefBased/>
  <w15:docId w15:val="{1DE9D19C-2F2F-4C87-AFB2-4B6AFCD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6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4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9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40C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D4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16D04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4759"/>
    <w:rPr>
      <w:rFonts w:asciiTheme="majorHAnsi" w:eastAsiaTheme="majorEastAsia" w:hAnsiTheme="majorHAnsi" w:cstheme="majorBidi"/>
      <w:sz w:val="28"/>
      <w:szCs w:val="26"/>
    </w:rPr>
  </w:style>
  <w:style w:type="paragraph" w:styleId="Listenabsatz">
    <w:name w:val="List Paragraph"/>
    <w:basedOn w:val="Standard"/>
    <w:uiPriority w:val="34"/>
    <w:qFormat/>
    <w:rsid w:val="00051419"/>
    <w:pPr>
      <w:ind w:left="720"/>
      <w:contextualSpacing/>
    </w:pPr>
  </w:style>
  <w:style w:type="paragraph" w:customStyle="1" w:styleId="berschrift11">
    <w:name w:val="Überschrift 11"/>
    <w:next w:val="Standard"/>
    <w:rsid w:val="00480ADA"/>
    <w:pPr>
      <w:keepNext/>
      <w:keepLines/>
      <w:spacing w:before="240" w:after="0"/>
      <w:outlineLvl w:val="0"/>
    </w:pPr>
    <w:rPr>
      <w:rFonts w:ascii="Lucida Grande" w:eastAsia="ヒラギノ角ゴ Pro W3" w:hAnsi="Lucida Grande" w:cs="Times New Roman"/>
      <w:color w:val="0C62A8"/>
      <w:sz w:val="32"/>
      <w:szCs w:val="20"/>
      <w:lang w:eastAsia="de-DE"/>
    </w:rPr>
  </w:style>
  <w:style w:type="paragraph" w:customStyle="1" w:styleId="Listenabsatz1">
    <w:name w:val="Listenabsatz1"/>
    <w:rsid w:val="00480ADA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de-DE"/>
    </w:rPr>
  </w:style>
  <w:style w:type="numbering" w:customStyle="1" w:styleId="Liste21">
    <w:name w:val="Liste 21"/>
    <w:rsid w:val="00480ADA"/>
  </w:style>
  <w:style w:type="paragraph" w:styleId="Kopfzeile">
    <w:name w:val="header"/>
    <w:basedOn w:val="Standard"/>
    <w:link w:val="KopfzeileZchn"/>
    <w:uiPriority w:val="99"/>
    <w:unhideWhenUsed/>
    <w:rsid w:val="008A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10E4"/>
  </w:style>
  <w:style w:type="paragraph" w:styleId="Fuzeile">
    <w:name w:val="footer"/>
    <w:basedOn w:val="Standard"/>
    <w:link w:val="FuzeileZchn"/>
    <w:uiPriority w:val="99"/>
    <w:unhideWhenUsed/>
    <w:rsid w:val="008A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10E4"/>
  </w:style>
  <w:style w:type="paragraph" w:styleId="KeinLeerraum">
    <w:name w:val="No Spacing"/>
    <w:link w:val="KeinLeerraumZchn"/>
    <w:uiPriority w:val="1"/>
    <w:qFormat/>
    <w:rsid w:val="008A10E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A10E4"/>
    <w:rPr>
      <w:rFonts w:eastAsiaTheme="minorEastAsia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9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9CD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1B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1BED"/>
    <w:rPr>
      <w:rFonts w:eastAsiaTheme="minorEastAsia"/>
      <w:color w:val="5A5A5A" w:themeColor="text1" w:themeTint="A5"/>
      <w:spacing w:val="15"/>
    </w:rPr>
  </w:style>
  <w:style w:type="numbering" w:customStyle="1" w:styleId="Strich">
    <w:name w:val="Strich"/>
    <w:rsid w:val="00F47F44"/>
    <w:pPr>
      <w:numPr>
        <w:numId w:val="28"/>
      </w:numPr>
    </w:pPr>
  </w:style>
  <w:style w:type="paragraph" w:customStyle="1" w:styleId="Text">
    <w:name w:val="Text"/>
    <w:rsid w:val="00F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8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5BAC-7252-49E7-85F8-60B17330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2738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2016-04-13T19:17:00Z</cp:lastPrinted>
  <dcterms:created xsi:type="dcterms:W3CDTF">2022-03-25T10:23:00Z</dcterms:created>
  <dcterms:modified xsi:type="dcterms:W3CDTF">2022-05-20T08:32:00Z</dcterms:modified>
</cp:coreProperties>
</file>