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text" w:tblpY="1"/>
        <w:tblOverlap w:val="never"/>
        <w:tblW w:w="14283" w:type="dxa"/>
        <w:tblLayout w:type="fixed"/>
        <w:tblLook w:val="04A0"/>
      </w:tblPr>
      <w:tblGrid>
        <w:gridCol w:w="1526"/>
        <w:gridCol w:w="87"/>
        <w:gridCol w:w="1330"/>
        <w:gridCol w:w="284"/>
        <w:gridCol w:w="2410"/>
        <w:gridCol w:w="850"/>
        <w:gridCol w:w="6804"/>
        <w:gridCol w:w="992"/>
      </w:tblGrid>
      <w:tr w:rsidR="00866B3E" w:rsidRPr="007D617D" w:rsidTr="003A2FE8">
        <w:tc>
          <w:tcPr>
            <w:tcW w:w="6487" w:type="dxa"/>
            <w:gridSpan w:val="6"/>
            <w:tcBorders>
              <w:top w:val="single" w:sz="18" w:space="0" w:color="auto"/>
            </w:tcBorders>
            <w:shd w:val="clear" w:color="auto" w:fill="CCCCCC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CCCC"/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 …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  <w:shd w:val="clear" w:color="auto" w:fill="CCCCCC"/>
          </w:tcPr>
          <w:p w:rsidR="00866B3E" w:rsidRPr="007D617D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866B3E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866B3E" w:rsidRPr="007D617D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866B3E" w:rsidRPr="007D617D" w:rsidTr="003A2FE8">
        <w:tc>
          <w:tcPr>
            <w:tcW w:w="1526" w:type="dxa"/>
            <w:vMerge w:val="restart"/>
            <w:tcBorders>
              <w:top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Über-geord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nete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Methoden- </w:t>
            </w:r>
            <w:r w:rsidRPr="007D617D">
              <w:rPr>
                <w:rFonts w:ascii="Arial" w:hAnsi="Arial" w:cs="Arial"/>
                <w:b/>
              </w:rPr>
              <w:t>kompetenzen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7654" w:type="dxa"/>
            <w:gridSpan w:val="2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Informationsgewinnung und -auswertung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erschließen fragegeleitet in selbstständiger Recherche aus sozialwissenschaftlich relevanten Textsorten zentrale Aussagen und Positionen sowie Intentionen und mögliche Adressaten der jeweiligen Texte und ermitteln Standpunkte und  Interessen der Autoren.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tabs>
                <w:tab w:val="right" w:pos="323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tabs>
                <w:tab w:val="right" w:pos="323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erheben fragen- und hypothesengeleitet Daten und Zusammenhänge durch empirische Methoden der Sozialwissenschaften und wenden statistische Verfahren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3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werten fragegeleitet Daten und deren Aufbereitung im Hinblick auf Datenquellen, Aussage- und Geltungsbereiche, Darstellungsarten, Trends, Korrelationen und Gesetzmäßigkeiten aus und überprüfen diese bezüglich ihrer Gültigkeit für die Ausgangsfrage.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Analyse und Strukturierung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4</w:t>
            </w:r>
          </w:p>
        </w:tc>
        <w:tc>
          <w:tcPr>
            <w:tcW w:w="6804" w:type="dxa"/>
            <w:tcBorders>
              <w:left w:val="single" w:sz="8" w:space="0" w:color="auto"/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analysieren unterschiedliche sozialwissenschaftliche Textsorten wie kontinuierliche und diskontinuierliche Texte (u.a. positionale und fachwissenschaftliche Texte, Fallbeispiele, Statistiken, Karikaturen sowie andere Medienprodukte aus sozialwissenschaftlichen Perspektiven).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ermitteln in themen- und  aspektgeleiteter Untersuchung die Position und Argumentation sozialwissenschaftlich relevanter Texte (Textthema, Thesen/Behauptungen, Begründungen, dabei insbesondere Argumente, Belege und Prämissen, Textlogik, Auf- und Abwertungen – auch unter Berücksichtigung sprachlicher Elemente –, Autoren- bzw. Textintention).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Darstellung und Präsentation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stellen themengeleitet komplexere sozialwissenschaftliche Fallbeispiele und Probleme in ihrer empirischen Dimension und unter Verwendung passender soziologischer, politologischer und wirtschaftswissenschaftlicher Fachbegriffe, Modelle und Theorien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präsentieren konkrete Lösungsmodelle, Alternativen oder Verbesserungsvorschläge zu einer konkreten sozialwissenschaftlichen Problemstellung.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stellen fachintegrativ und modellierend sozialwissenschaftliche Probleme unter wirtschaftswissenschaftlicher, soziologischer und </w:t>
            </w: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>politikwissenschaftlicher Perspektive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9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setzen Methoden und Techniken zur Präsentation und Darstellung sozialwissenschaftlicher Strukturen und Prozesse zur Unterstützung von sozialwissenschaftlichen Analysen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10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setzen bei sozialwissenschaftlichen Darstellungen inhaltliche und sprachliche Distanzmittel zur Trennung zwischen eigenen und fremden Positionen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Erkenntnis- und Ideologiekritik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11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ermitteln - auch vergleichend - Prämissen, Grundprinzipien, Konstruktion sowie Abstraktionsgrad und Reichweite sozialwissenschaftlicher Modelle und Theorien und überprüfen diese auf ihren Erkenntniswert.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arbeiten differenziert verschiedene Aussagemodi von sozialwissenschaftlich relevanten Materialien heraus.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sozialwissenschaftlich relevante Situationen und Texte im Hinblick auf die in ihnen wirksam werdenden Perspektiven und Interessenlagen sowie ihre Vernachlässigung alternativer Interessen und Perspektiven.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identifizieren eindimensionale und hermetische Argumentationen ohne entwickelte Alternativen.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sozialwissenschaftlich relevante Situationen und Texte unter den Aspekten der Ansprüche einzelner Positionen und Interessen auf die Repräsentation des Allgemeinwohls, auf Allgemeingültigkeit sowie Wissenschaftlichkeit.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identifizieren und überprüfen sozialwissenschaftliche Indikatoren im Hinblick auf ihre Validität.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ermitteln sozialwissenschaftliche Positionen aus unterschiedlichen Materialien im Hinblick auf ihre Funktion zum generellen Erhalt der gegebenen politischen, wirtschaftlichen und gesellschaftlichen Ordnung und deren Veränderung.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ermitteln typische Versatzstücke ideologischen Denkens (u.a. Vorurteile und Stereotypen, Ethnozentrismen, Chauvinismen, Rassismus, Biologismus).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B3E" w:rsidRPr="007D617D" w:rsidTr="003A2FE8">
        <w:trPr>
          <w:trHeight w:val="463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19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18" w:space="0" w:color="auto"/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...  analysieren wissenschaftliche Modelle und Theorien im Hinblick auf die hinter ihnen stehenden Erkenntnis- und Verwertungsinteressen.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Handlungs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lastRenderedPageBreak/>
              <w:t>kompetenzen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kein 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lastRenderedPageBreak/>
              <w:t>Inhaltsfeldbezug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lastRenderedPageBreak/>
              <w:t>HK 1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praktizieren im Unterricht selbstständig Formen demokratischen </w:t>
            </w: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>Sprechens und demokratischer Aushandlungsprozesse und übernehmen dabei Verantwortung für ihr Handeln.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entwerfen für diskursive, simulative und reale sozialwissenschaftliche Handlungsszenarien zunehmend komplexe Handlungspläne und übernehmen  fach-, situationsbezogen und adressatengerecht die zugehörigen Rollen.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entwickeln aus der Analyse zunehmend komplexerer wirtschaftlicher, gesellschaftlicher und sozialer Konflikte angemessene Lösungsstrategien und wenden diese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nehmen in diskursiven, simulativen und realen sozialwissenschaftlichen Aushandlungsszenarien einen Standpunkt ein und vertreten eigene Interessen in Abwägung mit den Interessen anderer.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beteiligen sich ggf. simulativ an (schul-)öffentlichen Diskursen.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entwickeln politische bzw. ökonomische und soziale Handlungsszenarien und führen diese selbstverantwortlich innerhalb bzw. außerhalb der Schule durch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36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HK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vermitteln eigene Interessen mit den Interessen Nah- und Fernstehender und erweitern die eigene Perspektive in Richtung eines Allgemeinwohls.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kre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tisierte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36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lastRenderedPageBreak/>
              <w:t>Sach-</w:t>
            </w:r>
          </w:p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36" w:space="0" w:color="auto"/>
            </w:tcBorders>
          </w:tcPr>
          <w:p w:rsidR="00866B3E" w:rsidRDefault="00866B3E" w:rsidP="00866B3E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4</w:t>
            </w:r>
          </w:p>
          <w:p w:rsidR="00866B3E" w:rsidRPr="007D617D" w:rsidRDefault="00866B3E" w:rsidP="00866B3E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Wirtschaftspolitik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Legitimation staatlichen Handelns im Bereich der Wirtschaftspolitik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Zielgrößen der gesamtwirtschaftlichen Entwicklung in Deutschland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Qualitatives Wachstum und nachhaltige Entwicklung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Konjunktur- und Wachstumsschwankungen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Wirtschaftspolitische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Konzeptionen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Bereiche und Instrumente der Wirtschaftspolitik</w:t>
            </w:r>
          </w:p>
          <w:p w:rsidR="00374C20" w:rsidRPr="007D2B1A" w:rsidRDefault="00374C20" w:rsidP="00866B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Europäische Wirtschafts- und Währungsunion sowie europäische Geldpolitik</w:t>
            </w:r>
          </w:p>
        </w:tc>
        <w:tc>
          <w:tcPr>
            <w:tcW w:w="850" w:type="dxa"/>
            <w:tcBorders>
              <w:top w:val="single" w:sz="36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den Konjunkturverlauf und das Modell des Konjunkturzyklus auf der Grundlage einer Analyse von Wachstum, Preisentwicklung, Beschäftigung und Außenbeitrag sowie von deren Indikatoren.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...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die Ziele der Wirtschaftspolitik und erläutern Zielharmonien und -konflikte innerhalb des magischen Vierecks sowie seiner Erweiterung um Gerechtigkeits- und Nachhaltigkeitsaspekte zum magischen Sechseck.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unterscheiden ordnungs-, struktur- und prozesspolitische Zielsetzungen und Maßnahmen der Wirtschaftspolitik.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analysieren an einem Fallbeispiel Interessen und wirtschaftspolitische Konzeptionen von Arbeitgeberverbänden und Gewerkschaften.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unterscheiden die Instrumente und Wirkungen angebotsorientierter, nachfrageorientierter und alternativer wirtschaftspolitischer Konzeptionen.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C20" w:rsidRPr="007D617D" w:rsidTr="003A2FE8">
        <w:tc>
          <w:tcPr>
            <w:tcW w:w="1526" w:type="dxa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74C20" w:rsidRPr="00374C20" w:rsidRDefault="00374C20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74C20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74C20">
              <w:rPr>
                <w:rFonts w:ascii="Arial" w:hAnsi="Arial" w:cs="Arial"/>
                <w:sz w:val="20"/>
                <w:szCs w:val="20"/>
              </w:rPr>
              <w:t xml:space="preserve"> beschreiben die Grundlagen der Europäischen Wirtschafts- und Wä</w:t>
            </w:r>
            <w:r w:rsidRPr="00374C20">
              <w:rPr>
                <w:rFonts w:ascii="Arial" w:hAnsi="Arial" w:cs="Arial"/>
                <w:sz w:val="20"/>
                <w:szCs w:val="20"/>
              </w:rPr>
              <w:t>h</w:t>
            </w:r>
            <w:r w:rsidRPr="00374C20">
              <w:rPr>
                <w:rFonts w:ascii="Arial" w:hAnsi="Arial" w:cs="Arial"/>
                <w:sz w:val="20"/>
                <w:szCs w:val="20"/>
              </w:rPr>
              <w:t>rungsunion.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C20" w:rsidRPr="007D617D" w:rsidTr="003A2FE8">
        <w:tc>
          <w:tcPr>
            <w:tcW w:w="1526" w:type="dxa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74C20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74C20" w:rsidRPr="00374C20" w:rsidRDefault="00374C20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C20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74C20">
              <w:rPr>
                <w:rFonts w:ascii="Arial" w:hAnsi="Arial" w:cs="Arial"/>
                <w:sz w:val="20"/>
                <w:szCs w:val="20"/>
              </w:rPr>
              <w:t xml:space="preserve"> erläutern den Status, die Instrumente und die Ziele der Geldpolitik der Europäischen Zentralbank.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C20" w:rsidRPr="007D617D" w:rsidTr="003A2FE8">
        <w:tc>
          <w:tcPr>
            <w:tcW w:w="1526" w:type="dxa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74C20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74C20" w:rsidRPr="00374C20" w:rsidRDefault="00374C20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Möglichkeiten und Grenzen der Geldpolitik der EZB im Spannungsfeld nationaler und supranationaler Anforderungen.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866B3E" w:rsidRPr="0005552B" w:rsidRDefault="00866B3E" w:rsidP="00866B3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erläutern die Handlungsspielräume und Grenzen nationalstaatlicher Wirtschaftspolitik angesichts supranationaler Verflechtungen sowie weltweiter Krisen.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566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</w:t>
            </w: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-pe</w:t>
            </w:r>
            <w:r w:rsidRPr="007D617D">
              <w:rPr>
                <w:rFonts w:ascii="Arial" w:hAnsi="Arial" w:cs="Arial"/>
                <w:b/>
              </w:rPr>
              <w:t>tenzen</w:t>
            </w:r>
            <w:bookmarkStart w:id="0" w:name="_GoBack"/>
            <w:bookmarkEnd w:id="0"/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kontroverse Positionen zu staatlichen Eingriffen in marktwirtschaftlichen Systemen.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566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die rechtliche Legitimation staatlichen Handelns in der Wirtschaftspolitik (u.a. Grundgesetz sowie Stabilitäts- und Wachstumsgesetz).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268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die Reichweite des Modells des Konjunkturzyklus.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566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Zielgrößen der gesamtwirtschaftlichen Entwicklung und deren Indikatoren im Hinblick auf deren Aussagekraft und die zugrunde liegenden Interessen.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566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unterschiedliche Wohlstands- und Wachstumskonzeptionen im Hinblick auf nachhaltige Entwicklung</w:t>
            </w:r>
            <w:r w:rsidR="00374C20">
              <w:rPr>
                <w:rFonts w:ascii="Arial" w:hAnsi="Arial" w:cs="Arial"/>
                <w:sz w:val="20"/>
                <w:szCs w:val="20"/>
              </w:rPr>
              <w:t xml:space="preserve"> und ihre arbeitsmarktpolitische Wirkungen</w:t>
            </w:r>
            <w:r w:rsidRPr="00055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313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die Funktion und die Gültigkeit von ökonomischen Prognosen.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566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wirtschaftspolitische Konzeptionen im Hinblick auf die zugrunde liegenden Annahmen und Wertvorstellungen sowie die ökonomischen, ökologischen und sozialen Wirkungen.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C20" w:rsidRPr="007D617D" w:rsidTr="00374C20">
        <w:trPr>
          <w:trHeight w:val="337"/>
        </w:trPr>
        <w:tc>
          <w:tcPr>
            <w:tcW w:w="1526" w:type="dxa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374C20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374C20" w:rsidRPr="0005552B" w:rsidRDefault="00374C20" w:rsidP="00866B3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bewerten die Unabhängigkeit und die Ziele der EZB.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374C20" w:rsidRPr="007D617D" w:rsidRDefault="00374C20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74C20">
        <w:trPr>
          <w:trHeight w:val="270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866B3E" w:rsidRPr="002D608B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die Möglichkeiten und Grenzen nationaler Wirtschaftspolitik.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866B3E" w:rsidRPr="007D617D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866B3E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866B3E" w:rsidRPr="007D617D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Konkreti-sierte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36" w:space="0" w:color="auto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Sachkom-petenzen</w:t>
            </w:r>
          </w:p>
        </w:tc>
        <w:tc>
          <w:tcPr>
            <w:tcW w:w="2410" w:type="dxa"/>
            <w:vMerge w:val="restart"/>
            <w:tcBorders>
              <w:top w:val="single" w:sz="36" w:space="0" w:color="auto"/>
            </w:tcBorders>
          </w:tcPr>
          <w:p w:rsidR="00866B3E" w:rsidRPr="00A537F2" w:rsidRDefault="00866B3E" w:rsidP="00866B3E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37F2">
              <w:rPr>
                <w:rFonts w:ascii="Arial" w:hAnsi="Arial" w:cs="Arial"/>
                <w:b/>
                <w:sz w:val="20"/>
                <w:szCs w:val="20"/>
              </w:rPr>
              <w:t>Inhaltsfeld 5</w:t>
            </w:r>
          </w:p>
          <w:p w:rsidR="00866B3E" w:rsidRPr="00A537F2" w:rsidRDefault="00866B3E" w:rsidP="00866B3E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Europäische Union</w:t>
            </w:r>
          </w:p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37F2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866B3E" w:rsidRPr="00A537F2" w:rsidRDefault="00866B3E" w:rsidP="00866B3E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 xml:space="preserve">EU-Normen, </w:t>
            </w:r>
            <w:r w:rsidRPr="00A537F2">
              <w:rPr>
                <w:sz w:val="20"/>
                <w:szCs w:val="20"/>
              </w:rPr>
              <w:lastRenderedPageBreak/>
              <w:t>Interventions- und Regulationsmechanismen sowie Institutionen</w:t>
            </w:r>
          </w:p>
          <w:p w:rsidR="00866B3E" w:rsidRPr="00A537F2" w:rsidRDefault="00866B3E" w:rsidP="00866B3E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Historische Entwicklung der EU als wirtschaftliche und politische Union</w:t>
            </w:r>
          </w:p>
          <w:p w:rsidR="00866B3E" w:rsidRPr="00A537F2" w:rsidRDefault="00866B3E" w:rsidP="00866B3E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Europäischer Binnenmarkt</w:t>
            </w:r>
          </w:p>
          <w:p w:rsidR="00866B3E" w:rsidRPr="00A537F2" w:rsidRDefault="00866B3E" w:rsidP="00866B3E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Strategien und Maßnahmen europäischer Krisenbewältigung</w:t>
            </w:r>
          </w:p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6" w:space="0" w:color="auto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Elemente des Alltagslebens im Hinblick auf seine Regulation durch europäische Normen.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an einem Fallbeispiel Aufbau, Funktion und Zusammenwirken der zentralen Institutionen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an einem Fallbeispiel die zentralen Regulations- und Interventionsmechanismen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</w:t>
            </w:r>
            <w:r w:rsidR="00374C20">
              <w:rPr>
                <w:rFonts w:ascii="Arial" w:hAnsi="Arial" w:cs="Arial"/>
                <w:sz w:val="20"/>
                <w:szCs w:val="20"/>
              </w:rPr>
              <w:t>alysieren europäische wirtschaftliche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Entscheidungssituationen im Hinblick auf den Gegensatz nationaler Einzelinteressen und europäischer Gesamtinteressen.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374C20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und erläutern zentrale Stationen und Dimensionen des europäischen Integrationsprozesses.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374C20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vier Grundfreiheiten des EU-Binnenmarktes.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374C20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erläutern die beabsichtigten und die eingetretenen Wirkungen des EU-Binnenmarktes im Hinblick auf Steigerung der Wohlfahrt, Schaffung von Arbeitsplätzen, Preissenkungen und Verbesserung der außenwirtschaftlichen Wettbewerbsposition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an einem Fallbeispiel Erscheinungen, Ursachen und Strategien zur Lösung aktueller europäischer Krisen.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Urteilskompetenz</w:t>
            </w: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F6ED1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EU-weite Normen im Hinblick auf deren Regulationsdichte und Notwendigkeit.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F6ED1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 politische Prozesse in der EU im Hinblick auf regionale und nationale Interessen sowie das Ideal eines europäischen Gesamtinteresses.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F6ED1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an einem Fallbeispiel vergleichend die Entscheidungsmöglichkeiten der einzelnen EU-Institutionen.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F6ED1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erörtern Möglichkeiten und Grenzen des europäischen Binnenmarktes auch für die eigene berufliche Zukunft.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F6ED1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erörtern Chancen und Probleme einer EU-Erweiterung.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F6ED1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beurteilen die Vorgehensweise europäischer Akteure im Hinblick auf die Handlungsfähigkeit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866B3E" w:rsidRPr="007D617D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866B3E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866B3E" w:rsidRPr="007D617D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 w:val="restart"/>
            <w:tcBorders>
              <w:top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Konkreti-sierte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Sachkompetenzen</w:t>
            </w:r>
          </w:p>
          <w:p w:rsidR="00866B3E" w:rsidRPr="0005552B" w:rsidRDefault="00866B3E" w:rsidP="00866B3E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</w:tcBorders>
          </w:tcPr>
          <w:p w:rsidR="00866B3E" w:rsidRDefault="00866B3E" w:rsidP="00866B3E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6</w:t>
            </w:r>
          </w:p>
          <w:p w:rsidR="00866B3E" w:rsidRPr="007D617D" w:rsidRDefault="00866B3E" w:rsidP="00866B3E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Strukturen sozialer Ungleichheit, sozialer Wandel und soziale Sicherung</w:t>
            </w:r>
          </w:p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Erscheinungsformen und Auswirkungen sozialer Ungleichheit</w:t>
            </w:r>
          </w:p>
          <w:p w:rsidR="00866B3E" w:rsidRDefault="008F6ED1" w:rsidP="00866B3E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Tendenzen des Wandels in der Arbeitswelt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Modelle und Theorien gesellschaftlicher Ungleichheit</w:t>
            </w:r>
          </w:p>
          <w:p w:rsidR="00866B3E" w:rsidRPr="00A21B5A" w:rsidRDefault="00866B3E" w:rsidP="00866B3E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Sozialstaatliches Handeln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erläutern aktuell diskutierte Begriffe und Bilder sozialen </w:t>
            </w:r>
            <w:r w:rsidR="008F6ED1">
              <w:rPr>
                <w:rFonts w:ascii="Arial" w:hAnsi="Arial" w:cs="Arial"/>
                <w:sz w:val="20"/>
                <w:szCs w:val="20"/>
              </w:rPr>
              <w:t xml:space="preserve">und wirtschaftlichen </w:t>
            </w:r>
            <w:r w:rsidRPr="0005552B">
              <w:rPr>
                <w:rFonts w:ascii="Arial" w:hAnsi="Arial" w:cs="Arial"/>
                <w:sz w:val="20"/>
                <w:szCs w:val="20"/>
              </w:rPr>
              <w:t>Wandels sowie eigene Gesellschaftsbilder.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Dimensionen sozialer Ungleichheit und ihre Indikatoren.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ED1" w:rsidRPr="007D617D" w:rsidTr="003A2FE8">
        <w:trPr>
          <w:trHeight w:val="162"/>
        </w:trPr>
        <w:tc>
          <w:tcPr>
            <w:tcW w:w="1526" w:type="dxa"/>
            <w:vMerge/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F6ED1" w:rsidRPr="00A21B5A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F6ED1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F6ED1" w:rsidRPr="0005552B" w:rsidRDefault="008F6ED1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die Entwicklung der Einkommens- und Vermögensverteilung.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ED1" w:rsidRPr="007D617D" w:rsidTr="003A2FE8">
        <w:trPr>
          <w:trHeight w:val="162"/>
        </w:trPr>
        <w:tc>
          <w:tcPr>
            <w:tcW w:w="1526" w:type="dxa"/>
            <w:vMerge/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F6ED1" w:rsidRPr="00A21B5A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F6ED1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F6ED1" w:rsidRDefault="008F6ED1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Lohn- und Arbeitszeitpolitik im Hinblick auf Umverteilungs- und Stabilitätsziele.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ED1" w:rsidRPr="007D617D" w:rsidTr="003A2FE8">
        <w:trPr>
          <w:trHeight w:val="162"/>
        </w:trPr>
        <w:tc>
          <w:tcPr>
            <w:tcW w:w="1526" w:type="dxa"/>
            <w:vMerge/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F6ED1" w:rsidRPr="00A21B5A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F6ED1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F6ED1" w:rsidRDefault="008F6ED1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beschreiben Tendenzen des Wandels der Arbeitswelt in Deutschland.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Grundzüge und Kriterien von Modellen vertikaler und horizontaler Ungleichheit.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ED1" w:rsidRPr="007D617D" w:rsidTr="003A2FE8">
        <w:trPr>
          <w:trHeight w:val="162"/>
        </w:trPr>
        <w:tc>
          <w:tcPr>
            <w:tcW w:w="1526" w:type="dxa"/>
            <w:vMerge/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F6ED1" w:rsidRPr="00A21B5A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F6ED1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F6ED1" w:rsidRPr="0005552B" w:rsidRDefault="008F6ED1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an einem Fallbeispiel mögliche ökonomische Verwendungszusammenhänge milieutheoretischer Forschung.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F6ED1" w:rsidRPr="007D617D" w:rsidRDefault="008F6ED1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F6E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</w:t>
            </w:r>
            <w:r w:rsidR="008F6ED1">
              <w:rPr>
                <w:rFonts w:ascii="Arial" w:hAnsi="Arial" w:cs="Arial"/>
                <w:sz w:val="20"/>
                <w:szCs w:val="20"/>
              </w:rPr>
              <w:t>tern Grundzüge und Kriterien eines Modells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sozialer Entstrukturierung.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F6ED1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8F6ED1">
              <w:rPr>
                <w:rFonts w:ascii="Arial" w:eastAsia="Times New Roman" w:hAnsi="Arial" w:cs="Arial"/>
                <w:sz w:val="20"/>
                <w:szCs w:val="20"/>
              </w:rPr>
              <w:t>analysieren fallbeispielbezogen Ursachen und Folgen der Flexibilisierung der Arbeitswelt sowie der Veränderung des Anteils prekärer Beschäftigungsverhältnisse auch unter Berücksichtigung von Geschlechteraspekten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an einem Fallbeispiel mögliche politische und ökonomische Verwendungszusammenhänge soziologischer Forschung.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Grundprinzipien staatlicher Sozialpolitik und Sozialgesetzgebung.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866B3E" w:rsidRPr="008F6ED1" w:rsidRDefault="008F6ED1" w:rsidP="008F6E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8F6ED1">
              <w:rPr>
                <w:rFonts w:ascii="Arial" w:hAnsi="Arial" w:cs="Arial"/>
                <w:sz w:val="20"/>
                <w:szCs w:val="20"/>
              </w:rPr>
              <w:t>analysieren exemplarisch sozialpolitische Konzeptionen von Arbeitnehmer- und Arbeitgebervertretungen im Hinblick auf deren Intere</w:t>
            </w:r>
            <w:r w:rsidRPr="008F6ED1">
              <w:rPr>
                <w:rFonts w:ascii="Arial" w:hAnsi="Arial" w:cs="Arial"/>
                <w:sz w:val="20"/>
                <w:szCs w:val="20"/>
              </w:rPr>
              <w:t>s</w:t>
            </w:r>
            <w:r w:rsidRPr="008F6ED1">
              <w:rPr>
                <w:rFonts w:ascii="Arial" w:hAnsi="Arial" w:cs="Arial"/>
                <w:sz w:val="20"/>
                <w:szCs w:val="20"/>
              </w:rPr>
              <w:t>sengebundenheit.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1E77A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Urteilskompe-tenzen</w:t>
            </w: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1E77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1E77A8">
              <w:rPr>
                <w:rFonts w:ascii="Arial" w:hAnsi="Arial" w:cs="Arial"/>
                <w:sz w:val="20"/>
                <w:szCs w:val="20"/>
              </w:rPr>
              <w:t>beurteilen Tendenzen des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Wandels </w:t>
            </w:r>
            <w:r w:rsidR="001E77A8">
              <w:rPr>
                <w:rFonts w:ascii="Arial" w:hAnsi="Arial" w:cs="Arial"/>
                <w:sz w:val="20"/>
                <w:szCs w:val="20"/>
              </w:rPr>
              <w:t xml:space="preserve">in der Arbeitswelt </w:t>
            </w:r>
            <w:r w:rsidRPr="0005552B">
              <w:rPr>
                <w:rFonts w:ascii="Arial" w:hAnsi="Arial" w:cs="Arial"/>
                <w:sz w:val="20"/>
                <w:szCs w:val="20"/>
              </w:rPr>
              <w:t>aus der Sicht ihrer zukünftigen soziale</w:t>
            </w:r>
            <w:r w:rsidR="001E77A8">
              <w:rPr>
                <w:rFonts w:ascii="Arial" w:hAnsi="Arial" w:cs="Arial"/>
                <w:sz w:val="20"/>
                <w:szCs w:val="20"/>
              </w:rPr>
              <w:t>n Rollen als Arbeitnehmer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bzw. Unternehmer.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7A8" w:rsidRPr="007D617D" w:rsidTr="001E77A8">
        <w:trPr>
          <w:trHeight w:val="162"/>
        </w:trPr>
        <w:tc>
          <w:tcPr>
            <w:tcW w:w="1526" w:type="dxa"/>
            <w:vMerge/>
          </w:tcPr>
          <w:p w:rsidR="001E77A8" w:rsidRPr="007D617D" w:rsidRDefault="001E77A8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18" w:space="0" w:color="000000" w:themeColor="text1"/>
            </w:tcBorders>
          </w:tcPr>
          <w:p w:rsidR="001E77A8" w:rsidRDefault="001E77A8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1E77A8" w:rsidRPr="00A21B5A" w:rsidRDefault="001E77A8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77A8" w:rsidRDefault="001E77A8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1E77A8" w:rsidRPr="0005552B" w:rsidRDefault="001E77A8" w:rsidP="001E77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E77A8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1E77A8">
              <w:rPr>
                <w:rFonts w:ascii="Arial" w:eastAsia="Times New Roman" w:hAnsi="Arial" w:cs="Arial"/>
                <w:sz w:val="20"/>
                <w:szCs w:val="20"/>
              </w:rPr>
              <w:t>bewerten die Entwicklung der Erwerbsarbeitsverhältnisse im Hinblick auf ihre sozialen Folgen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1E77A8" w:rsidRPr="007D617D" w:rsidRDefault="001E77A8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7A8" w:rsidRPr="007D617D" w:rsidTr="001E77A8">
        <w:trPr>
          <w:trHeight w:val="162"/>
        </w:trPr>
        <w:tc>
          <w:tcPr>
            <w:tcW w:w="1526" w:type="dxa"/>
            <w:vMerge/>
          </w:tcPr>
          <w:p w:rsidR="001E77A8" w:rsidRPr="007D617D" w:rsidRDefault="001E77A8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18" w:space="0" w:color="000000" w:themeColor="text1"/>
            </w:tcBorders>
          </w:tcPr>
          <w:p w:rsidR="001E77A8" w:rsidRDefault="001E77A8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1E77A8" w:rsidRPr="00A21B5A" w:rsidRDefault="001E77A8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77A8" w:rsidRDefault="001E77A8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1E77A8" w:rsidRDefault="001E77A8" w:rsidP="001E77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E77A8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1E77A8">
              <w:rPr>
                <w:rFonts w:ascii="Arial" w:eastAsia="Times New Roman" w:hAnsi="Arial" w:cs="Arial"/>
                <w:sz w:val="20"/>
                <w:szCs w:val="20"/>
              </w:rPr>
              <w:t>bewerten die Bedeutung der Entwicklung der Einkommens- und Vermögensverteilung für die gesellschaftliche Integration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1E77A8" w:rsidRPr="007D617D" w:rsidRDefault="001E77A8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die Bedeutung von gesellschaftlichen Entstrukturierungsvorgängen für den ökonomischen Wohlstand und den sozialen Zusammenhalt.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Reichweite von Modellen sozialer Ungleichheit im Hinblick auf die Abbildung von Wirklichkeit und ihren Erklärungswert.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politische und ökonomische Verwertung von Ergebnissen der Ungleichheitsforschung.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526" w:type="dxa"/>
            <w:vMerge/>
            <w:tcBorders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866B3E" w:rsidRPr="00A21B5A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unterschiedliche  Zugangschancen zu Ressourcen und deren Legitimationen vor dem Hintergrund des Sozialstaatsgebots und des Gebots des Grundgesetzes zur Herstellung gleichwertiger Lebensverhältnisse.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lastRenderedPageBreak/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866B3E" w:rsidRPr="0005552B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866B3E" w:rsidRPr="007D617D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866B3E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866B3E" w:rsidRPr="007D617D" w:rsidRDefault="00866B3E" w:rsidP="00866B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 w:val="restart"/>
            <w:tcBorders>
              <w:top w:val="single" w:sz="18" w:space="0" w:color="000000" w:themeColor="text1"/>
            </w:tcBorders>
          </w:tcPr>
          <w:p w:rsidR="00866B3E" w:rsidRPr="00F962F7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62F7">
              <w:rPr>
                <w:rFonts w:ascii="Arial" w:hAnsi="Arial" w:cs="Arial"/>
                <w:b/>
                <w:sz w:val="28"/>
                <w:szCs w:val="28"/>
              </w:rPr>
              <w:t>Konkretisierte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Sachkompe-tenzen</w:t>
            </w:r>
          </w:p>
        </w:tc>
        <w:tc>
          <w:tcPr>
            <w:tcW w:w="2410" w:type="dxa"/>
            <w:vMerge w:val="restart"/>
          </w:tcPr>
          <w:p w:rsidR="00866B3E" w:rsidRDefault="00866B3E" w:rsidP="00866B3E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7</w:t>
            </w:r>
          </w:p>
          <w:p w:rsidR="00866B3E" w:rsidRPr="007D617D" w:rsidRDefault="00866B3E" w:rsidP="00866B3E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Globale Strukturen und Prozesse</w:t>
            </w:r>
          </w:p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Friedens- und Sicherheitspolitik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Bedeutung von Menschenrechten und Demokratie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Merkmale, Dimensionen und Auswirkungen der Globalisierung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Wirtschaftsbeziehungen</w:t>
            </w:r>
          </w:p>
          <w:p w:rsidR="001E77A8" w:rsidRDefault="001E77A8" w:rsidP="00866B3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Institutionen zur Gestaltung der ökonomischen Dimension der Globalisierung</w:t>
            </w:r>
          </w:p>
          <w:p w:rsidR="00866B3E" w:rsidRDefault="00866B3E" w:rsidP="00866B3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Wirtschaftsstandort Deutschland</w:t>
            </w:r>
          </w:p>
          <w:p w:rsidR="001E77A8" w:rsidRPr="0005552B" w:rsidRDefault="001E77A8" w:rsidP="00866B3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Globalisierungskritik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1E77A8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und analysieren beispielbezogen Erscheinungsformen, Ursachen und Strukturen internationaler Konflikte, Krisen und Kriege.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1E77A8" w:rsidP="001E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an einem Fallbeispiel die Bedeutung der Grund- und Menschenrechte sowie der Demokratie im Rahmen</w:t>
            </w:r>
            <w:r>
              <w:rPr>
                <w:rFonts w:ascii="Arial" w:hAnsi="Arial" w:cs="Arial"/>
                <w:sz w:val="20"/>
                <w:szCs w:val="20"/>
              </w:rPr>
              <w:t xml:space="preserve"> der Globalisierung</w:t>
            </w:r>
            <w:r w:rsidRPr="00055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1E77A8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politische, gesellschaftliche, ökologische und wirtschaftliche Auswirkungen der Globalisierung (u.a. Migration, Klimawandel, nachhaltige Entwicklung).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1E77A8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erläutern Ursachen für zunehmende weltweite wirtschaftliche Verflechtungen.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1E77A8" w:rsidP="001E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aktuelle internationale Handels- und Finanzbeziehungen im Hinblick auf grundlegende Erscheinungsformen, Abläufe, Akteure und  Einflussfaktoren.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1E77A8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E77A8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1E77A8">
              <w:rPr>
                <w:rFonts w:ascii="Arial" w:eastAsia="Times New Roman" w:hAnsi="Arial" w:cs="Arial"/>
                <w:sz w:val="20"/>
                <w:szCs w:val="20"/>
              </w:rPr>
              <w:t>erläutern fallbezogen Zielsetzung, Aufbau und Arbeitsweise von supranationalen Institutionen zur Gestaltung der ökonomischen Dimension der Globalisierung (WTO, IWF und Weltbank)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erläutern die Standortfaktoren des Wirtschaftsstandorts Deutschland mit Blick </w:t>
            </w:r>
            <w:r w:rsidR="001E77A8">
              <w:rPr>
                <w:rFonts w:ascii="Arial" w:hAnsi="Arial" w:cs="Arial"/>
                <w:sz w:val="20"/>
                <w:szCs w:val="20"/>
              </w:rPr>
              <w:t>auf den regionalen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und globalen Wettbewerb.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 w:val="restart"/>
            <w:tcBorders>
              <w:top w:val="single" w:sz="18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Urteilskompetenzen</w:t>
            </w: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53609B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53609B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53609B">
              <w:rPr>
                <w:rFonts w:ascii="Arial" w:eastAsia="Times New Roman" w:hAnsi="Arial" w:cs="Arial"/>
                <w:sz w:val="20"/>
                <w:szCs w:val="20"/>
              </w:rPr>
              <w:t>erörtern am Fallbeispiel Interessen- und Machtkonstellationen internationaler Akteure zur Gestaltung der Globalisierung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53609B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53609B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53609B">
              <w:rPr>
                <w:rFonts w:ascii="Arial" w:eastAsia="Times New Roman" w:hAnsi="Arial" w:cs="Arial"/>
                <w:sz w:val="20"/>
                <w:szCs w:val="20"/>
              </w:rPr>
              <w:t>beurteilen Ziele, Möglichkeiten und Grenzen des Einflusses globalisierungskritischer Organisationen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beurteilen Konsequenzen eigenen lokalen Handelns vor dem Hintergrund globaler Prozesse und eigener sowie fremder Wertvorstellungen.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B3E" w:rsidRPr="007D617D" w:rsidTr="003A2FE8">
        <w:trPr>
          <w:trHeight w:val="162"/>
        </w:trPr>
        <w:tc>
          <w:tcPr>
            <w:tcW w:w="1613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866B3E" w:rsidRPr="00A537F2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66B3E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866B3E" w:rsidRPr="0005552B" w:rsidRDefault="00866B3E" w:rsidP="00866B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erörtern die Konkurrenz von Ländern und Regionen um die Ansiedlung von Unternehmen im Hinblick auf ökonomische, politische und gesellschaftliche Auswirkungen.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866B3E" w:rsidRPr="007D617D" w:rsidRDefault="00866B3E" w:rsidP="00866B3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6B3E" w:rsidRDefault="00866B3E" w:rsidP="00866B3E">
      <w:pPr>
        <w:spacing w:after="0"/>
      </w:pPr>
    </w:p>
    <w:p w:rsidR="00866B3E" w:rsidRDefault="00866B3E" w:rsidP="00866B3E">
      <w:pPr>
        <w:spacing w:line="240" w:lineRule="auto"/>
      </w:pPr>
    </w:p>
    <w:p w:rsidR="00AF2532" w:rsidRDefault="00AF2532"/>
    <w:sectPr w:rsidR="00AF2532" w:rsidSect="0005552B">
      <w:headerReference w:type="default" r:id="rId7"/>
      <w:type w:val="continuous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EBD" w:rsidRDefault="00E36EBD" w:rsidP="00866B3E">
      <w:pPr>
        <w:pStyle w:val="Fuzeile"/>
      </w:pPr>
      <w:r>
        <w:separator/>
      </w:r>
    </w:p>
  </w:endnote>
  <w:endnote w:type="continuationSeparator" w:id="1">
    <w:p w:rsidR="00E36EBD" w:rsidRDefault="00E36EBD" w:rsidP="00866B3E">
      <w:pPr>
        <w:pStyle w:val="Fuzei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EBD" w:rsidRDefault="00E36EBD" w:rsidP="00866B3E">
      <w:pPr>
        <w:pStyle w:val="Fuzeile"/>
      </w:pPr>
      <w:r>
        <w:separator/>
      </w:r>
    </w:p>
  </w:footnote>
  <w:footnote w:type="continuationSeparator" w:id="1">
    <w:p w:rsidR="00E36EBD" w:rsidRDefault="00E36EBD" w:rsidP="00866B3E">
      <w:pPr>
        <w:pStyle w:val="Fuzei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52B" w:rsidRPr="000449CB" w:rsidRDefault="00E36EBD" w:rsidP="0005552B">
    <w:pPr>
      <w:pStyle w:val="Kopfzeile"/>
      <w:jc w:val="center"/>
      <w:rPr>
        <w:rFonts w:cs="Arial"/>
        <w:sz w:val="20"/>
      </w:rPr>
    </w:pPr>
    <w:r w:rsidRPr="000909B2">
      <w:rPr>
        <w:rFonts w:cs="Arial"/>
        <w:sz w:val="20"/>
      </w:rPr>
      <w:t xml:space="preserve">KLP </w:t>
    </w:r>
    <w:r>
      <w:rPr>
        <w:rFonts w:cs="Arial"/>
        <w:sz w:val="20"/>
      </w:rPr>
      <w:t>Sozialwissenschaften</w:t>
    </w:r>
    <w:r w:rsidR="00866B3E">
      <w:rPr>
        <w:rFonts w:cs="Arial"/>
        <w:sz w:val="20"/>
      </w:rPr>
      <w:t>/Wirtschaft</w:t>
    </w:r>
    <w:r w:rsidRPr="000909B2">
      <w:rPr>
        <w:rFonts w:cs="Arial"/>
        <w:sz w:val="20"/>
      </w:rPr>
      <w:t xml:space="preserve">: </w:t>
    </w:r>
    <w:r w:rsidRPr="000909B2">
      <w:rPr>
        <w:rFonts w:cs="Arial"/>
        <w:sz w:val="20"/>
      </w:rPr>
      <w:t>Unterstützungsmaterial zur Erstellung eines schulinternen Lehrplans</w:t>
    </w:r>
  </w:p>
  <w:p w:rsidR="0005552B" w:rsidRPr="00A57585" w:rsidRDefault="00E36EBD" w:rsidP="0005552B">
    <w:pP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Schulinterner Lehrplan Sozialwissenschaften</w:t>
    </w:r>
    <w:r w:rsidR="00866B3E">
      <w:rPr>
        <w:rFonts w:ascii="Arial" w:hAnsi="Arial" w:cs="Arial"/>
        <w:b/>
        <w:sz w:val="28"/>
        <w:szCs w:val="28"/>
      </w:rPr>
      <w:t>/Wirtschaft</w:t>
    </w:r>
    <w:r w:rsidRPr="00762AF7">
      <w:rPr>
        <w:rFonts w:ascii="Arial" w:hAnsi="Arial" w:cs="Arial"/>
        <w:b/>
        <w:sz w:val="28"/>
        <w:szCs w:val="28"/>
      </w:rPr>
      <w:t xml:space="preserve">: </w:t>
    </w:r>
    <w:r w:rsidRPr="00762AF7">
      <w:rPr>
        <w:rFonts w:ascii="Arial" w:hAnsi="Arial" w:cs="Arial"/>
        <w:b/>
        <w:i/>
        <w:sz w:val="28"/>
        <w:szCs w:val="28"/>
      </w:rPr>
      <w:t>Kompetenz-Checkliste</w:t>
    </w:r>
    <w:r w:rsidRPr="00762AF7">
      <w:rPr>
        <w:rFonts w:ascii="Arial" w:hAnsi="Arial" w:cs="Arial"/>
        <w:b/>
        <w:sz w:val="28"/>
        <w:szCs w:val="28"/>
      </w:rPr>
      <w:t xml:space="preserve"> für </w:t>
    </w:r>
    <w:r>
      <w:rPr>
        <w:rFonts w:ascii="Arial" w:hAnsi="Arial" w:cs="Arial"/>
        <w:b/>
        <w:sz w:val="28"/>
        <w:szCs w:val="28"/>
      </w:rPr>
      <w:t>die Qualifikationsphase/Grundkurs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16CA2"/>
    <w:multiLevelType w:val="hybridMultilevel"/>
    <w:tmpl w:val="9A427EA8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00071"/>
    <w:multiLevelType w:val="hybridMultilevel"/>
    <w:tmpl w:val="5CC2E64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C966980"/>
    <w:multiLevelType w:val="hybridMultilevel"/>
    <w:tmpl w:val="E3B2D2A4"/>
    <w:lvl w:ilvl="0" w:tplc="0B3659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E956A1"/>
    <w:multiLevelType w:val="hybridMultilevel"/>
    <w:tmpl w:val="5BECEE5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B3E"/>
    <w:rsid w:val="001E77A8"/>
    <w:rsid w:val="00374C20"/>
    <w:rsid w:val="0053609B"/>
    <w:rsid w:val="00566DF9"/>
    <w:rsid w:val="007764BB"/>
    <w:rsid w:val="00866B3E"/>
    <w:rsid w:val="008F6ED1"/>
    <w:rsid w:val="00AF2532"/>
    <w:rsid w:val="00B3214A"/>
    <w:rsid w:val="00B351C8"/>
    <w:rsid w:val="00C70EB3"/>
    <w:rsid w:val="00C91979"/>
    <w:rsid w:val="00D606A2"/>
    <w:rsid w:val="00E215C0"/>
    <w:rsid w:val="00E27C38"/>
    <w:rsid w:val="00E36EBD"/>
    <w:rsid w:val="00F10DBB"/>
    <w:rsid w:val="00F46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6B3E"/>
    <w:pPr>
      <w:spacing w:before="0" w:beforeAutospacing="0" w:after="200" w:afterAutospacing="0" w:line="276" w:lineRule="auto"/>
    </w:pPr>
  </w:style>
  <w:style w:type="paragraph" w:styleId="berschrift1">
    <w:name w:val="heading 1"/>
    <w:basedOn w:val="Standard"/>
    <w:link w:val="berschrift1Zchn"/>
    <w:uiPriority w:val="9"/>
    <w:qFormat/>
    <w:rsid w:val="00E27C38"/>
    <w:pPr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E27C38"/>
    <w:pPr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E27C38"/>
    <w:pPr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7C3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7C3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7C3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table" w:styleId="Tabellengitternetz">
    <w:name w:val="Table Grid"/>
    <w:basedOn w:val="NormaleTabelle"/>
    <w:uiPriority w:val="59"/>
    <w:rsid w:val="00866B3E"/>
    <w:pPr>
      <w:spacing w:before="0" w:beforeAutospacing="0" w:after="0" w:afterAutospacing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66B3E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66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6B3E"/>
  </w:style>
  <w:style w:type="paragraph" w:styleId="Fuzeile">
    <w:name w:val="footer"/>
    <w:basedOn w:val="Standard"/>
    <w:link w:val="FuzeileZchn"/>
    <w:uiPriority w:val="99"/>
    <w:semiHidden/>
    <w:unhideWhenUsed/>
    <w:rsid w:val="00866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66B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2157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Cron</dc:creator>
  <cp:lastModifiedBy>Christina Cron</cp:lastModifiedBy>
  <cp:revision>2</cp:revision>
  <dcterms:created xsi:type="dcterms:W3CDTF">2013-10-08T16:41:00Z</dcterms:created>
  <dcterms:modified xsi:type="dcterms:W3CDTF">2013-10-08T17:26:00Z</dcterms:modified>
</cp:coreProperties>
</file>