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90" w:type="dxa"/>
        <w:tblInd w:w="-318" w:type="dxa"/>
        <w:tblLook w:val="04A0" w:firstRow="1" w:lastRow="0" w:firstColumn="1" w:lastColumn="0" w:noHBand="0" w:noVBand="1"/>
      </w:tblPr>
      <w:tblGrid>
        <w:gridCol w:w="568"/>
        <w:gridCol w:w="4669"/>
        <w:gridCol w:w="576"/>
        <w:gridCol w:w="4651"/>
        <w:gridCol w:w="26"/>
      </w:tblGrid>
      <w:tr w:rsidR="0058038A" w:rsidRPr="00B20253" w14:paraId="606BD1B3" w14:textId="65C6B478" w:rsidTr="009F2C7E">
        <w:trPr>
          <w:gridAfter w:val="1"/>
          <w:wAfter w:w="26" w:type="dxa"/>
        </w:trPr>
        <w:tc>
          <w:tcPr>
            <w:tcW w:w="10464" w:type="dxa"/>
            <w:gridSpan w:val="4"/>
          </w:tcPr>
          <w:p w14:paraId="7511D83D" w14:textId="2EF5442C" w:rsidR="0058038A" w:rsidRPr="00B20253" w:rsidRDefault="0058038A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B20253">
              <w:rPr>
                <w:rFonts w:cs="Arial"/>
                <w:b/>
                <w:szCs w:val="24"/>
              </w:rPr>
              <w:t>Inhaltsfeld I: Bedarfsgerechte Ernährung (EF)</w:t>
            </w:r>
          </w:p>
        </w:tc>
      </w:tr>
      <w:tr w:rsidR="009F2C7E" w:rsidRPr="00B20253" w14:paraId="7A6664F9" w14:textId="48A188CE" w:rsidTr="009F2C7E">
        <w:tc>
          <w:tcPr>
            <w:tcW w:w="568" w:type="dxa"/>
          </w:tcPr>
          <w:p w14:paraId="2358BB96" w14:textId="77777777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B20253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4669" w:type="dxa"/>
          </w:tcPr>
          <w:p w14:paraId="1E213120" w14:textId="3DF53DD4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  <w:tc>
          <w:tcPr>
            <w:tcW w:w="576" w:type="dxa"/>
          </w:tcPr>
          <w:p w14:paraId="780A2F5C" w14:textId="6F6CAF68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B20253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4677" w:type="dxa"/>
            <w:gridSpan w:val="2"/>
          </w:tcPr>
          <w:p w14:paraId="39C7C52C" w14:textId="4E305904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 xml:space="preserve">erwartungen </w:t>
            </w:r>
          </w:p>
        </w:tc>
      </w:tr>
      <w:tr w:rsidR="009F2C7E" w:rsidRPr="00B20253" w14:paraId="5E0CCB2B" w14:textId="3FE4006D" w:rsidTr="009F2C7E">
        <w:tc>
          <w:tcPr>
            <w:tcW w:w="568" w:type="dxa"/>
          </w:tcPr>
          <w:p w14:paraId="453CA82E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1</w:t>
            </w:r>
          </w:p>
        </w:tc>
        <w:tc>
          <w:tcPr>
            <w:tcW w:w="4669" w:type="dxa"/>
          </w:tcPr>
          <w:p w14:paraId="430CD323" w14:textId="74182F05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erläutern die Größen Kilojoule/Kilokalorie und ihre Bedeutung im Zusammenhang mit dem physiologischen Brennwert der Hauptnährstoffe (UF1)</w:t>
            </w:r>
          </w:p>
        </w:tc>
        <w:tc>
          <w:tcPr>
            <w:tcW w:w="576" w:type="dxa"/>
          </w:tcPr>
          <w:p w14:paraId="28F12E77" w14:textId="3A375355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I.10</w:t>
            </w:r>
          </w:p>
        </w:tc>
        <w:tc>
          <w:tcPr>
            <w:tcW w:w="4677" w:type="dxa"/>
            <w:gridSpan w:val="2"/>
          </w:tcPr>
          <w:p w14:paraId="47904F0A" w14:textId="5F4732A8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an</w:t>
            </w:r>
            <w:r>
              <w:rPr>
                <w:rFonts w:cs="Arial"/>
                <w:szCs w:val="24"/>
              </w:rPr>
              <w:t>alysieren die Qualität von ener</w:t>
            </w:r>
            <w:r w:rsidRPr="00B20253">
              <w:rPr>
                <w:rFonts w:cs="Arial"/>
                <w:szCs w:val="24"/>
              </w:rPr>
              <w:t>gie</w:t>
            </w:r>
            <w:r>
              <w:rPr>
                <w:rFonts w:cs="Arial"/>
                <w:szCs w:val="24"/>
              </w:rPr>
              <w:t>-</w:t>
            </w:r>
            <w:r w:rsidRPr="00B20253">
              <w:rPr>
                <w:rFonts w:cs="Arial"/>
                <w:szCs w:val="24"/>
              </w:rPr>
              <w:t>liefernden Nährstoffen mithilfe ernährungsphysiologischer Bewertungs</w:t>
            </w:r>
            <w:r>
              <w:rPr>
                <w:rFonts w:cs="Arial"/>
                <w:szCs w:val="24"/>
              </w:rPr>
              <w:t>-</w:t>
            </w:r>
            <w:r w:rsidRPr="00B20253">
              <w:rPr>
                <w:rFonts w:cs="Arial"/>
                <w:szCs w:val="24"/>
              </w:rPr>
              <w:t>kr</w:t>
            </w:r>
            <w:r>
              <w:rPr>
                <w:rFonts w:cs="Arial"/>
                <w:szCs w:val="24"/>
              </w:rPr>
              <w:t>iterien (u.a. biolo</w:t>
            </w:r>
            <w:r w:rsidRPr="00B20253">
              <w:rPr>
                <w:rFonts w:cs="Arial"/>
                <w:szCs w:val="24"/>
              </w:rPr>
              <w:t>gische Wertigkeit der Proteine, Fettsäuremuster, einfache und komplexe Kohlenhydrate) (E1, E2)</w:t>
            </w:r>
          </w:p>
        </w:tc>
      </w:tr>
      <w:tr w:rsidR="009F2C7E" w:rsidRPr="00B20253" w14:paraId="2B5278CE" w14:textId="06351B3D" w:rsidTr="009F2C7E">
        <w:tc>
          <w:tcPr>
            <w:tcW w:w="568" w:type="dxa"/>
          </w:tcPr>
          <w:p w14:paraId="2BDB0837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2</w:t>
            </w:r>
          </w:p>
        </w:tc>
        <w:tc>
          <w:tcPr>
            <w:tcW w:w="4669" w:type="dxa"/>
          </w:tcPr>
          <w:p w14:paraId="0CD6E66C" w14:textId="0BD79D05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unterscheiden zentrale Fach</w:t>
            </w:r>
            <w:r w:rsidRPr="00B20253">
              <w:rPr>
                <w:rFonts w:cs="Arial"/>
                <w:szCs w:val="24"/>
              </w:rPr>
              <w:t>begriffe (u.a. Nährstoffrelation, Mahlzeitenfrequenz, Energie- und Nährstoff</w:t>
            </w:r>
            <w:r>
              <w:rPr>
                <w:rFonts w:cs="Arial"/>
                <w:szCs w:val="24"/>
              </w:rPr>
              <w:t>dichte) zur Beurteilung der Qualität von Lebens</w:t>
            </w:r>
            <w:r w:rsidRPr="00B20253">
              <w:rPr>
                <w:rFonts w:cs="Arial"/>
                <w:szCs w:val="24"/>
              </w:rPr>
              <w:t>mitteln und Mahlzeiten (UF2)</w:t>
            </w:r>
          </w:p>
        </w:tc>
        <w:tc>
          <w:tcPr>
            <w:tcW w:w="576" w:type="dxa"/>
          </w:tcPr>
          <w:p w14:paraId="3E629627" w14:textId="373332C3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I.11</w:t>
            </w:r>
          </w:p>
        </w:tc>
        <w:tc>
          <w:tcPr>
            <w:tcW w:w="4677" w:type="dxa"/>
            <w:gridSpan w:val="2"/>
          </w:tcPr>
          <w:p w14:paraId="67272956" w14:textId="6F3C2651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berechnen mit Hilfe von Nährwert</w:t>
            </w:r>
            <w:r>
              <w:rPr>
                <w:rFonts w:cs="Arial"/>
                <w:szCs w:val="24"/>
              </w:rPr>
              <w:t>tabellen den Energie- und Nähr</w:t>
            </w:r>
            <w:r w:rsidRPr="00B20253">
              <w:rPr>
                <w:rFonts w:cs="Arial"/>
                <w:szCs w:val="24"/>
              </w:rPr>
              <w:t>stoffgehalt von Lebensmitteln und bewerten auf dieser Grundlage ihre Qualität (u.a. ihren Beitrag zur Bedarfsdeckung) (E2, E5, E6)</w:t>
            </w:r>
          </w:p>
        </w:tc>
      </w:tr>
      <w:tr w:rsidR="009F2C7E" w:rsidRPr="00B20253" w14:paraId="690B750D" w14:textId="6469B9E8" w:rsidTr="009F2C7E">
        <w:tc>
          <w:tcPr>
            <w:tcW w:w="568" w:type="dxa"/>
          </w:tcPr>
          <w:p w14:paraId="15F139D3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3</w:t>
            </w:r>
          </w:p>
        </w:tc>
        <w:tc>
          <w:tcPr>
            <w:tcW w:w="4669" w:type="dxa"/>
          </w:tcPr>
          <w:p w14:paraId="624415F6" w14:textId="00DA26DF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erläutern die anatomischen und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cytologischen</w:t>
            </w:r>
            <w:proofErr w:type="spellEnd"/>
            <w:r>
              <w:rPr>
                <w:rFonts w:cs="Arial"/>
                <w:szCs w:val="24"/>
              </w:rPr>
              <w:t xml:space="preserve"> Strukturen inner</w:t>
            </w:r>
            <w:r w:rsidRPr="00B20253">
              <w:rPr>
                <w:rFonts w:cs="Arial"/>
                <w:szCs w:val="24"/>
              </w:rPr>
              <w:t xml:space="preserve">halb des Verdauungssystems (u.a. </w:t>
            </w:r>
            <w:proofErr w:type="spellStart"/>
            <w:r w:rsidRPr="00B20253">
              <w:rPr>
                <w:rFonts w:cs="Arial"/>
                <w:szCs w:val="24"/>
              </w:rPr>
              <w:t>Darmmukosa</w:t>
            </w:r>
            <w:proofErr w:type="spellEnd"/>
            <w:r>
              <w:rPr>
                <w:rFonts w:cs="Arial"/>
                <w:szCs w:val="24"/>
              </w:rPr>
              <w:t xml:space="preserve">-zelle, </w:t>
            </w:r>
            <w:proofErr w:type="spellStart"/>
            <w:r>
              <w:rPr>
                <w:rFonts w:cs="Arial"/>
                <w:szCs w:val="24"/>
              </w:rPr>
              <w:t>Micellen</w:t>
            </w:r>
            <w:proofErr w:type="spellEnd"/>
            <w:r>
              <w:rPr>
                <w:rFonts w:cs="Arial"/>
                <w:szCs w:val="24"/>
              </w:rPr>
              <w:t xml:space="preserve"> und </w:t>
            </w:r>
            <w:proofErr w:type="spellStart"/>
            <w:r>
              <w:rPr>
                <w:rFonts w:cs="Arial"/>
                <w:szCs w:val="24"/>
              </w:rPr>
              <w:t>Chylomi</w:t>
            </w:r>
            <w:r w:rsidRPr="00B20253">
              <w:rPr>
                <w:rFonts w:cs="Arial"/>
                <w:szCs w:val="24"/>
              </w:rPr>
              <w:t>kronen</w:t>
            </w:r>
            <w:proofErr w:type="spellEnd"/>
            <w:r w:rsidRPr="00B20253">
              <w:rPr>
                <w:rFonts w:cs="Arial"/>
                <w:szCs w:val="24"/>
              </w:rPr>
              <w:t>) sowie passive und aktive Transport</w:t>
            </w:r>
            <w:r>
              <w:rPr>
                <w:rFonts w:cs="Arial"/>
                <w:szCs w:val="24"/>
              </w:rPr>
              <w:t>-</w:t>
            </w:r>
            <w:r w:rsidRPr="00B20253">
              <w:rPr>
                <w:rFonts w:cs="Arial"/>
                <w:szCs w:val="24"/>
              </w:rPr>
              <w:t>mechanismen durch Membranen (UF1)</w:t>
            </w:r>
          </w:p>
        </w:tc>
        <w:tc>
          <w:tcPr>
            <w:tcW w:w="576" w:type="dxa"/>
          </w:tcPr>
          <w:p w14:paraId="470DE82D" w14:textId="28D0358A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I.12</w:t>
            </w:r>
          </w:p>
        </w:tc>
        <w:tc>
          <w:tcPr>
            <w:tcW w:w="4677" w:type="dxa"/>
            <w:gridSpan w:val="2"/>
          </w:tcPr>
          <w:p w14:paraId="7B90D997" w14:textId="56A2C36D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weisen Hauptnährstoffe und ihre Eigenschaften durch Experimente nach und werten diese aus (E4, E5)</w:t>
            </w:r>
          </w:p>
        </w:tc>
      </w:tr>
      <w:tr w:rsidR="009F2C7E" w:rsidRPr="00B20253" w14:paraId="65C2FAD9" w14:textId="7EF86E7D" w:rsidTr="009F2C7E">
        <w:tc>
          <w:tcPr>
            <w:tcW w:w="568" w:type="dxa"/>
          </w:tcPr>
          <w:p w14:paraId="77966922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4</w:t>
            </w:r>
          </w:p>
        </w:tc>
        <w:tc>
          <w:tcPr>
            <w:tcW w:w="4669" w:type="dxa"/>
          </w:tcPr>
          <w:p w14:paraId="604C2F64" w14:textId="7777777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erläutern die Vorgänge der Verdauung und Resorption der Hauptnährstoffe unter korrekter Verwendung der Fachbegriffe (UF1)</w:t>
            </w:r>
          </w:p>
        </w:tc>
        <w:tc>
          <w:tcPr>
            <w:tcW w:w="576" w:type="dxa"/>
          </w:tcPr>
          <w:p w14:paraId="1BB39C56" w14:textId="3D3013B3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I.13</w:t>
            </w:r>
          </w:p>
        </w:tc>
        <w:tc>
          <w:tcPr>
            <w:tcW w:w="4677" w:type="dxa"/>
            <w:gridSpan w:val="2"/>
          </w:tcPr>
          <w:p w14:paraId="54814A82" w14:textId="662D13DB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 xml:space="preserve">entwickeln Hypothesen bzgl. </w:t>
            </w:r>
            <w:proofErr w:type="spellStart"/>
            <w:r w:rsidRPr="00B20253">
              <w:rPr>
                <w:rFonts w:cs="Arial"/>
                <w:szCs w:val="24"/>
              </w:rPr>
              <w:t>ausgewähl</w:t>
            </w:r>
            <w:r>
              <w:rPr>
                <w:rFonts w:cs="Arial"/>
                <w:szCs w:val="24"/>
              </w:rPr>
              <w:t>-</w:t>
            </w:r>
            <w:r w:rsidRPr="00B20253">
              <w:rPr>
                <w:rFonts w:cs="Arial"/>
                <w:szCs w:val="24"/>
              </w:rPr>
              <w:t>ter</w:t>
            </w:r>
            <w:proofErr w:type="spellEnd"/>
            <w:r w:rsidRPr="00B20253">
              <w:rPr>
                <w:rFonts w:cs="Arial"/>
                <w:szCs w:val="24"/>
              </w:rPr>
              <w:t xml:space="preserve"> Mahlzeiten zur adressatenbezogenen Energie- und Nährstoffbedarfsdeckung und überprüfen sie anhand von Berechnungen, auch mit Hilfe digitaler Werkzeuge (E3, E4)</w:t>
            </w:r>
          </w:p>
        </w:tc>
      </w:tr>
      <w:tr w:rsidR="009F2C7E" w:rsidRPr="00B20253" w14:paraId="55F0514B" w14:textId="7F145110" w:rsidTr="009F2C7E">
        <w:tc>
          <w:tcPr>
            <w:tcW w:w="568" w:type="dxa"/>
          </w:tcPr>
          <w:p w14:paraId="041E49C7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5</w:t>
            </w:r>
          </w:p>
        </w:tc>
        <w:tc>
          <w:tcPr>
            <w:tcW w:w="4669" w:type="dxa"/>
          </w:tcPr>
          <w:p w14:paraId="1900FCD6" w14:textId="7777777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beschreiben Einflussfaktoren auf den Grund- und Leistungsumsatz und ziehen Rückschlüsse auf den Energie- und Nährstoffbedarf (UF1, UF4)</w:t>
            </w:r>
          </w:p>
        </w:tc>
        <w:tc>
          <w:tcPr>
            <w:tcW w:w="576" w:type="dxa"/>
          </w:tcPr>
          <w:p w14:paraId="4976CBF9" w14:textId="11898176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I.14</w:t>
            </w:r>
          </w:p>
        </w:tc>
        <w:tc>
          <w:tcPr>
            <w:tcW w:w="4677" w:type="dxa"/>
            <w:gridSpan w:val="2"/>
          </w:tcPr>
          <w:p w14:paraId="6D7BDE5B" w14:textId="701D24AB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verdeutlichen den komple</w:t>
            </w:r>
            <w:r>
              <w:rPr>
                <w:rFonts w:cs="Arial"/>
                <w:szCs w:val="24"/>
              </w:rPr>
              <w:t>xen Molekülaufbau der Hauptnähr</w:t>
            </w:r>
            <w:r w:rsidRPr="00B20253">
              <w:rPr>
                <w:rFonts w:cs="Arial"/>
                <w:szCs w:val="24"/>
              </w:rPr>
              <w:t>stoffe mit Funktionsmodellen (E6)</w:t>
            </w:r>
          </w:p>
        </w:tc>
      </w:tr>
      <w:tr w:rsidR="009F2C7E" w:rsidRPr="00B20253" w14:paraId="03DABC88" w14:textId="440E2D2A" w:rsidTr="009F2C7E">
        <w:tc>
          <w:tcPr>
            <w:tcW w:w="568" w:type="dxa"/>
          </w:tcPr>
          <w:p w14:paraId="7F6B82E2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6</w:t>
            </w:r>
          </w:p>
        </w:tc>
        <w:tc>
          <w:tcPr>
            <w:tcW w:w="4669" w:type="dxa"/>
          </w:tcPr>
          <w:p w14:paraId="5A8913BB" w14:textId="7777777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erläutern die Bedeutung der</w:t>
            </w:r>
          </w:p>
          <w:p w14:paraId="57C6E20C" w14:textId="7777777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D-A-CH-Referenzwerte (UF1)</w:t>
            </w:r>
          </w:p>
        </w:tc>
        <w:tc>
          <w:tcPr>
            <w:tcW w:w="576" w:type="dxa"/>
          </w:tcPr>
          <w:p w14:paraId="6EE77182" w14:textId="41CE0FDE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I.15</w:t>
            </w:r>
          </w:p>
        </w:tc>
        <w:tc>
          <w:tcPr>
            <w:tcW w:w="4677" w:type="dxa"/>
            <w:gridSpan w:val="2"/>
          </w:tcPr>
          <w:p w14:paraId="3FFA6C7B" w14:textId="24D18EA9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analysieren Mahlzeiten im Hin</w:t>
            </w:r>
            <w:r w:rsidRPr="00B20253">
              <w:rPr>
                <w:rFonts w:cs="Arial"/>
                <w:szCs w:val="24"/>
              </w:rPr>
              <w:t>blick a</w:t>
            </w:r>
            <w:r>
              <w:rPr>
                <w:rFonts w:cs="Arial"/>
                <w:szCs w:val="24"/>
              </w:rPr>
              <w:t>uf ihren Energie- und Hauptnähr</w:t>
            </w:r>
            <w:r w:rsidRPr="00B20253">
              <w:rPr>
                <w:rFonts w:cs="Arial"/>
                <w:szCs w:val="24"/>
              </w:rPr>
              <w:t>stof</w:t>
            </w:r>
            <w:r>
              <w:rPr>
                <w:rFonts w:cs="Arial"/>
                <w:szCs w:val="24"/>
              </w:rPr>
              <w:t>fgehalt und optimieren diese ge</w:t>
            </w:r>
            <w:r w:rsidRPr="00B20253">
              <w:rPr>
                <w:rFonts w:cs="Arial"/>
                <w:szCs w:val="24"/>
              </w:rPr>
              <w:t>gebenenfalls bedarfsadäquat (E5)</w:t>
            </w:r>
          </w:p>
        </w:tc>
      </w:tr>
      <w:tr w:rsidR="009F2C7E" w:rsidRPr="00B20253" w14:paraId="7C087AA8" w14:textId="05208606" w:rsidTr="009F2C7E">
        <w:tc>
          <w:tcPr>
            <w:tcW w:w="568" w:type="dxa"/>
          </w:tcPr>
          <w:p w14:paraId="797F5C88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7</w:t>
            </w:r>
          </w:p>
        </w:tc>
        <w:tc>
          <w:tcPr>
            <w:tcW w:w="4669" w:type="dxa"/>
          </w:tcPr>
          <w:p w14:paraId="260DD747" w14:textId="2396A852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ordnen die Hauptnährstoffe nach ihren Funktionen im menschlichen Organismus in verschiedene Kategorien ein (UF3)</w:t>
            </w:r>
          </w:p>
        </w:tc>
        <w:tc>
          <w:tcPr>
            <w:tcW w:w="576" w:type="dxa"/>
          </w:tcPr>
          <w:p w14:paraId="4BC257C4" w14:textId="4D8AD89A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b/>
                <w:szCs w:val="24"/>
              </w:rPr>
              <w:t>I.16</w:t>
            </w:r>
          </w:p>
        </w:tc>
        <w:tc>
          <w:tcPr>
            <w:tcW w:w="4677" w:type="dxa"/>
            <w:gridSpan w:val="2"/>
          </w:tcPr>
          <w:p w14:paraId="79ADCDE5" w14:textId="72A8B78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beschreiben Kriterien, die zu einer unterschiedl</w:t>
            </w:r>
            <w:r>
              <w:rPr>
                <w:rFonts w:cs="Arial"/>
                <w:szCs w:val="24"/>
              </w:rPr>
              <w:t>ichen Mahlzeitengestal</w:t>
            </w:r>
            <w:r w:rsidRPr="00B20253">
              <w:rPr>
                <w:rFonts w:cs="Arial"/>
                <w:szCs w:val="24"/>
              </w:rPr>
              <w:t>tun</w:t>
            </w:r>
            <w:r>
              <w:rPr>
                <w:rFonts w:cs="Arial"/>
                <w:szCs w:val="24"/>
              </w:rPr>
              <w:t>g führen können (u.a. Zeitökono</w:t>
            </w:r>
            <w:r w:rsidRPr="00B20253">
              <w:rPr>
                <w:rFonts w:cs="Arial"/>
                <w:szCs w:val="24"/>
              </w:rPr>
              <w:t>mie, Sensorik, Nährstoffgehalt),</w:t>
            </w:r>
            <w:r>
              <w:rPr>
                <w:rFonts w:cs="Arial"/>
                <w:szCs w:val="24"/>
              </w:rPr>
              <w:t xml:space="preserve"> planen dementsprechend Mahlzei</w:t>
            </w:r>
            <w:r w:rsidRPr="00B20253">
              <w:rPr>
                <w:rFonts w:cs="Arial"/>
                <w:szCs w:val="24"/>
              </w:rPr>
              <w:t>ten und bereiten sie zu (E1, E4)</w:t>
            </w:r>
          </w:p>
        </w:tc>
      </w:tr>
      <w:tr w:rsidR="009F2C7E" w:rsidRPr="00B20253" w14:paraId="2D1A7D70" w14:textId="77777777" w:rsidTr="009F2C7E">
        <w:tc>
          <w:tcPr>
            <w:tcW w:w="568" w:type="dxa"/>
          </w:tcPr>
          <w:p w14:paraId="1DCD4E65" w14:textId="61BE9C8B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8</w:t>
            </w:r>
          </w:p>
        </w:tc>
        <w:tc>
          <w:tcPr>
            <w:tcW w:w="4669" w:type="dxa"/>
          </w:tcPr>
          <w:p w14:paraId="684536E1" w14:textId="68886100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erläutern die Dimension Gesundheit als wichtigen Bestandteil nachhaltiger Ernährung (UF1)</w:t>
            </w:r>
          </w:p>
        </w:tc>
        <w:tc>
          <w:tcPr>
            <w:tcW w:w="576" w:type="dxa"/>
          </w:tcPr>
          <w:p w14:paraId="42574CCD" w14:textId="141701C5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I.17</w:t>
            </w:r>
          </w:p>
        </w:tc>
        <w:tc>
          <w:tcPr>
            <w:tcW w:w="4677" w:type="dxa"/>
            <w:gridSpan w:val="2"/>
          </w:tcPr>
          <w:p w14:paraId="2A2A2001" w14:textId="27C3184A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veranschaulichen mit Strukturmodellen den Bau der Haupt</w:t>
            </w:r>
            <w:r w:rsidRPr="00B20253">
              <w:rPr>
                <w:rFonts w:cs="Arial"/>
                <w:szCs w:val="24"/>
              </w:rPr>
              <w:t>nährstoffe und erklären mit ihrer Hilfe besondere Eigenschaften (K3)</w:t>
            </w:r>
          </w:p>
        </w:tc>
      </w:tr>
      <w:tr w:rsidR="009F2C7E" w:rsidRPr="00B20253" w14:paraId="79B86569" w14:textId="77777777" w:rsidTr="009F2C7E">
        <w:tc>
          <w:tcPr>
            <w:tcW w:w="568" w:type="dxa"/>
          </w:tcPr>
          <w:p w14:paraId="78ED9A72" w14:textId="5C2215F0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 9</w:t>
            </w:r>
          </w:p>
        </w:tc>
        <w:tc>
          <w:tcPr>
            <w:tcW w:w="4669" w:type="dxa"/>
          </w:tcPr>
          <w:p w14:paraId="4E4AF5DC" w14:textId="636E6E54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berechnen den täglichen Energie</w:t>
            </w:r>
            <w:r w:rsidRPr="00B20253">
              <w:rPr>
                <w:rFonts w:cs="Arial"/>
                <w:szCs w:val="24"/>
              </w:rPr>
              <w:t xml:space="preserve">bedarf (u.a. mit Hilfe des </w:t>
            </w:r>
            <w:proofErr w:type="spellStart"/>
            <w:r w:rsidRPr="00B20253">
              <w:rPr>
                <w:rFonts w:cs="Arial"/>
                <w:i/>
                <w:szCs w:val="24"/>
              </w:rPr>
              <w:t>physical</w:t>
            </w:r>
            <w:proofErr w:type="spellEnd"/>
            <w:r w:rsidRPr="00B20253">
              <w:rPr>
                <w:rFonts w:cs="Arial"/>
                <w:i/>
                <w:szCs w:val="24"/>
              </w:rPr>
              <w:t xml:space="preserve"> </w:t>
            </w:r>
            <w:proofErr w:type="spellStart"/>
            <w:r w:rsidRPr="00B20253">
              <w:rPr>
                <w:rFonts w:cs="Arial"/>
                <w:i/>
                <w:szCs w:val="24"/>
              </w:rPr>
              <w:t>activity</w:t>
            </w:r>
            <w:proofErr w:type="spellEnd"/>
            <w:r w:rsidRPr="00B20253">
              <w:rPr>
                <w:rFonts w:cs="Arial"/>
                <w:i/>
                <w:szCs w:val="24"/>
              </w:rPr>
              <w:t xml:space="preserve"> </w:t>
            </w:r>
            <w:proofErr w:type="spellStart"/>
            <w:r w:rsidRPr="00B20253">
              <w:rPr>
                <w:rFonts w:cs="Arial"/>
                <w:i/>
                <w:szCs w:val="24"/>
              </w:rPr>
              <w:t>levels</w:t>
            </w:r>
            <w:proofErr w:type="spellEnd"/>
            <w:r w:rsidRPr="00B20253">
              <w:rPr>
                <w:rFonts w:cs="Arial"/>
                <w:szCs w:val="24"/>
              </w:rPr>
              <w:t xml:space="preserve"> (PAL-Wert)) (E2, E6)</w:t>
            </w:r>
          </w:p>
        </w:tc>
        <w:tc>
          <w:tcPr>
            <w:tcW w:w="576" w:type="dxa"/>
          </w:tcPr>
          <w:p w14:paraId="2CC6C8DF" w14:textId="77777777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b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B902EB6" w14:textId="77777777" w:rsidR="009F2C7E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  <w:p w14:paraId="055CB42B" w14:textId="77777777" w:rsidR="009F2C7E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  <w:p w14:paraId="50788400" w14:textId="77777777" w:rsidR="009F2C7E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  <w:p w14:paraId="6114E595" w14:textId="7777777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1D6C1263" w14:textId="77777777" w:rsidTr="009F2C7E">
        <w:tc>
          <w:tcPr>
            <w:tcW w:w="568" w:type="dxa"/>
          </w:tcPr>
          <w:p w14:paraId="11A78ED7" w14:textId="7777777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</w:p>
        </w:tc>
        <w:tc>
          <w:tcPr>
            <w:tcW w:w="4669" w:type="dxa"/>
          </w:tcPr>
          <w:p w14:paraId="641F7E35" w14:textId="77777777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  <w:tc>
          <w:tcPr>
            <w:tcW w:w="576" w:type="dxa"/>
          </w:tcPr>
          <w:p w14:paraId="2739A89F" w14:textId="77777777" w:rsidR="009F2C7E" w:rsidRPr="00B20253" w:rsidRDefault="009F2C7E" w:rsidP="009F2C7E">
            <w:pPr>
              <w:spacing w:before="240" w:after="240"/>
              <w:ind w:left="-57" w:right="-57"/>
              <w:jc w:val="left"/>
              <w:rPr>
                <w:b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A06AEC8" w14:textId="77777777" w:rsidR="009F2C7E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6B0C1108" w14:textId="77777777" w:rsidTr="009F2C7E">
        <w:trPr>
          <w:gridAfter w:val="1"/>
          <w:wAfter w:w="26" w:type="dxa"/>
        </w:trPr>
        <w:tc>
          <w:tcPr>
            <w:tcW w:w="10464" w:type="dxa"/>
            <w:gridSpan w:val="4"/>
          </w:tcPr>
          <w:p w14:paraId="43FA0E86" w14:textId="77777777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B20253">
              <w:rPr>
                <w:rFonts w:cs="Arial"/>
                <w:b/>
                <w:szCs w:val="24"/>
              </w:rPr>
              <w:lastRenderedPageBreak/>
              <w:t>Inhaltsfeld I: Bedarfsgerechte Ernährung (EF)</w:t>
            </w:r>
          </w:p>
        </w:tc>
      </w:tr>
      <w:tr w:rsidR="009F2C7E" w:rsidRPr="00B20253" w14:paraId="05A0CDC5" w14:textId="77777777" w:rsidTr="009F2C7E">
        <w:tc>
          <w:tcPr>
            <w:tcW w:w="568" w:type="dxa"/>
          </w:tcPr>
          <w:p w14:paraId="372DB809" w14:textId="4ABF6E32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B20253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4669" w:type="dxa"/>
          </w:tcPr>
          <w:p w14:paraId="6FFA0F14" w14:textId="70358063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 xml:space="preserve">erwartungen </w:t>
            </w:r>
          </w:p>
        </w:tc>
        <w:tc>
          <w:tcPr>
            <w:tcW w:w="576" w:type="dxa"/>
          </w:tcPr>
          <w:p w14:paraId="67215BFD" w14:textId="64EA3E0B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5D2DE24" w14:textId="0C5CF330" w:rsidR="009F2C7E" w:rsidRPr="00B20253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</w:p>
        </w:tc>
      </w:tr>
      <w:tr w:rsidR="009F2C7E" w:rsidRPr="00B20253" w14:paraId="0140A5E2" w14:textId="2DBC7E6B" w:rsidTr="009F2C7E">
        <w:tc>
          <w:tcPr>
            <w:tcW w:w="568" w:type="dxa"/>
          </w:tcPr>
          <w:p w14:paraId="0676D541" w14:textId="6DD91A64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I.18</w:t>
            </w:r>
          </w:p>
        </w:tc>
        <w:tc>
          <w:tcPr>
            <w:tcW w:w="4669" w:type="dxa"/>
          </w:tcPr>
          <w:p w14:paraId="17DFD6D0" w14:textId="73265AB1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 xml:space="preserve">recherchieren den Herstellungsweg eines Hauptnährstofflieferanten, </w:t>
            </w:r>
            <w:r>
              <w:rPr>
                <w:rFonts w:cs="Arial"/>
                <w:szCs w:val="24"/>
              </w:rPr>
              <w:t>beschreiben den lebensmittel</w:t>
            </w:r>
            <w:r w:rsidRPr="00B20253">
              <w:rPr>
                <w:rFonts w:cs="Arial"/>
                <w:szCs w:val="24"/>
              </w:rPr>
              <w:t>technologischen Prozess und ziehen Rückschlüsse auf die Qualität des Endprodukts (K2, K3)</w:t>
            </w:r>
          </w:p>
        </w:tc>
        <w:tc>
          <w:tcPr>
            <w:tcW w:w="576" w:type="dxa"/>
          </w:tcPr>
          <w:p w14:paraId="334A9BC0" w14:textId="2D8325A1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045D629" w14:textId="3B0E453E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438B2039" w14:textId="2235D2B1" w:rsidTr="009F2C7E">
        <w:tc>
          <w:tcPr>
            <w:tcW w:w="568" w:type="dxa"/>
          </w:tcPr>
          <w:p w14:paraId="28288B0C" w14:textId="05813571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I.19</w:t>
            </w:r>
          </w:p>
        </w:tc>
        <w:tc>
          <w:tcPr>
            <w:tcW w:w="4669" w:type="dxa"/>
          </w:tcPr>
          <w:p w14:paraId="366B0AD3" w14:textId="375BCAF3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dokumentieren Untersuchungs</w:t>
            </w:r>
            <w:r w:rsidRPr="00B20253">
              <w:rPr>
                <w:rFonts w:cs="Arial"/>
                <w:szCs w:val="24"/>
              </w:rPr>
              <w:t>ergebnisse (u.a. aus Experimenten mit Lebensmitteln) in präziser Sprache und mit geeigneten Darstellungsformen (K1)</w:t>
            </w:r>
          </w:p>
        </w:tc>
        <w:tc>
          <w:tcPr>
            <w:tcW w:w="576" w:type="dxa"/>
          </w:tcPr>
          <w:p w14:paraId="05E08415" w14:textId="1BDF3EDB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137BA73" w14:textId="1B475D9E" w:rsidR="009F2C7E" w:rsidRPr="00B20253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3BAF3BAB" w14:textId="21F896AF" w:rsidTr="009F2C7E">
        <w:tc>
          <w:tcPr>
            <w:tcW w:w="568" w:type="dxa"/>
          </w:tcPr>
          <w:p w14:paraId="2F2B0849" w14:textId="14507190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I.20</w:t>
            </w:r>
          </w:p>
        </w:tc>
        <w:tc>
          <w:tcPr>
            <w:tcW w:w="4669" w:type="dxa"/>
          </w:tcPr>
          <w:p w14:paraId="20E992BE" w14:textId="5509C6CF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begründen sach- und adressaten</w:t>
            </w:r>
            <w:r w:rsidRPr="00B20253">
              <w:rPr>
                <w:rFonts w:cs="Arial"/>
                <w:szCs w:val="24"/>
              </w:rPr>
              <w:t>gerecht den Gesundheitswert eines Hauptnährstoffträgers (K4)</w:t>
            </w:r>
          </w:p>
        </w:tc>
        <w:tc>
          <w:tcPr>
            <w:tcW w:w="576" w:type="dxa"/>
          </w:tcPr>
          <w:p w14:paraId="58B9874C" w14:textId="351A9F23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08852A3" w14:textId="5E7B23D6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323EEA18" w14:textId="68D723DC" w:rsidTr="009F2C7E">
        <w:tc>
          <w:tcPr>
            <w:tcW w:w="568" w:type="dxa"/>
          </w:tcPr>
          <w:p w14:paraId="4C90F53F" w14:textId="3605F54B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I.21</w:t>
            </w:r>
          </w:p>
        </w:tc>
        <w:tc>
          <w:tcPr>
            <w:tcW w:w="4669" w:type="dxa"/>
          </w:tcPr>
          <w:p w14:paraId="701D61D4" w14:textId="35DE28AE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 xml:space="preserve">beschreiben und präsentieren fachwissenschaftlich publizierte Untersuchungsergebnisse </w:t>
            </w:r>
            <w:r>
              <w:rPr>
                <w:rFonts w:cs="Arial"/>
                <w:szCs w:val="24"/>
              </w:rPr>
              <w:t>zum Konsum eines Hauptnährstoff</w:t>
            </w:r>
            <w:r w:rsidRPr="00B20253">
              <w:rPr>
                <w:rFonts w:cs="Arial"/>
                <w:szCs w:val="24"/>
              </w:rPr>
              <w:t>lieferanten (K2, K3)</w:t>
            </w:r>
          </w:p>
        </w:tc>
        <w:tc>
          <w:tcPr>
            <w:tcW w:w="576" w:type="dxa"/>
          </w:tcPr>
          <w:p w14:paraId="2087974D" w14:textId="174A2DE5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CC4196D" w14:textId="5957C5C0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47958F4B" w14:textId="5A1023C4" w:rsidTr="009F2C7E">
        <w:tc>
          <w:tcPr>
            <w:tcW w:w="568" w:type="dxa"/>
          </w:tcPr>
          <w:p w14:paraId="32A759BC" w14:textId="1FA0EE7F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I.22</w:t>
            </w:r>
          </w:p>
        </w:tc>
        <w:tc>
          <w:tcPr>
            <w:tcW w:w="4669" w:type="dxa"/>
          </w:tcPr>
          <w:p w14:paraId="592A51EB" w14:textId="5CC2051E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bew</w:t>
            </w:r>
            <w:r>
              <w:rPr>
                <w:rFonts w:cs="Arial"/>
                <w:szCs w:val="24"/>
              </w:rPr>
              <w:t xml:space="preserve">erten </w:t>
            </w:r>
            <w:proofErr w:type="spellStart"/>
            <w:r>
              <w:rPr>
                <w:rFonts w:cs="Arial"/>
                <w:szCs w:val="24"/>
              </w:rPr>
              <w:t>kriterienorientiert</w:t>
            </w:r>
            <w:proofErr w:type="spellEnd"/>
            <w:r>
              <w:rPr>
                <w:rFonts w:cs="Arial"/>
                <w:szCs w:val="24"/>
              </w:rPr>
              <w:t xml:space="preserve"> Haupt</w:t>
            </w:r>
            <w:r w:rsidRPr="00B20253">
              <w:rPr>
                <w:rFonts w:cs="Arial"/>
                <w:szCs w:val="24"/>
              </w:rPr>
              <w:t>nähr</w:t>
            </w:r>
            <w:r>
              <w:rPr>
                <w:rFonts w:cs="Arial"/>
                <w:szCs w:val="24"/>
              </w:rPr>
              <w:t>-</w:t>
            </w:r>
            <w:r w:rsidRPr="00B20253">
              <w:rPr>
                <w:rFonts w:cs="Arial"/>
                <w:szCs w:val="24"/>
              </w:rPr>
              <w:t>stoffträger und Mahlzeiten (u.a. Genuss- und Gesundheitswer</w:t>
            </w:r>
            <w:r>
              <w:rPr>
                <w:rFonts w:cs="Arial"/>
                <w:szCs w:val="24"/>
              </w:rPr>
              <w:t>t, ökonomischer Wert sowie Nach</w:t>
            </w:r>
            <w:r w:rsidRPr="00B20253">
              <w:rPr>
                <w:rFonts w:cs="Arial"/>
                <w:szCs w:val="24"/>
              </w:rPr>
              <w:t>haltigkeit) und beziehen begründet einen eigenen Standpunkt zur Auswahl von Lebensmitteln (B1)</w:t>
            </w:r>
          </w:p>
        </w:tc>
        <w:tc>
          <w:tcPr>
            <w:tcW w:w="576" w:type="dxa"/>
          </w:tcPr>
          <w:p w14:paraId="383906BF" w14:textId="16B64A5F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EC4A07B" w14:textId="13CF6730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4BD0CD8E" w14:textId="77777777" w:rsidTr="009F2C7E">
        <w:tc>
          <w:tcPr>
            <w:tcW w:w="568" w:type="dxa"/>
          </w:tcPr>
          <w:p w14:paraId="2E757783" w14:textId="6604BD19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I.23</w:t>
            </w:r>
          </w:p>
        </w:tc>
        <w:tc>
          <w:tcPr>
            <w:tcW w:w="4669" w:type="dxa"/>
          </w:tcPr>
          <w:p w14:paraId="6B76B12E" w14:textId="5ED74BCF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argumentieren und beziehen Position zu unterschiedlichen Ernährungsweisen mit Blick auf Energie- und Nährstoffbilanzen (positive, negative und ausgeglichene) (B2)</w:t>
            </w:r>
          </w:p>
        </w:tc>
        <w:tc>
          <w:tcPr>
            <w:tcW w:w="576" w:type="dxa"/>
          </w:tcPr>
          <w:p w14:paraId="437834B0" w14:textId="77777777" w:rsidR="009F2C7E" w:rsidRPr="00B20253" w:rsidRDefault="009F2C7E" w:rsidP="009F2C7E">
            <w:pPr>
              <w:ind w:left="-57" w:right="-57"/>
              <w:jc w:val="left"/>
              <w:rPr>
                <w:b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58A0AE4" w14:textId="77777777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  <w:tr w:rsidR="009F2C7E" w:rsidRPr="00B20253" w14:paraId="35E39482" w14:textId="77777777" w:rsidTr="009F2C7E">
        <w:tc>
          <w:tcPr>
            <w:tcW w:w="568" w:type="dxa"/>
          </w:tcPr>
          <w:p w14:paraId="4FB9287E" w14:textId="04843B57" w:rsidR="009F2C7E" w:rsidRPr="00B20253" w:rsidRDefault="009F2C7E" w:rsidP="009F2C7E">
            <w:pPr>
              <w:spacing w:before="240" w:after="240"/>
              <w:ind w:left="-57" w:right="-57"/>
              <w:jc w:val="center"/>
              <w:rPr>
                <w:b/>
                <w:szCs w:val="24"/>
              </w:rPr>
            </w:pPr>
            <w:r w:rsidRPr="00B20253">
              <w:rPr>
                <w:b/>
                <w:szCs w:val="24"/>
              </w:rPr>
              <w:t>I.24</w:t>
            </w:r>
          </w:p>
        </w:tc>
        <w:tc>
          <w:tcPr>
            <w:tcW w:w="4669" w:type="dxa"/>
          </w:tcPr>
          <w:p w14:paraId="0D5354ED" w14:textId="5FE524BD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B20253">
              <w:rPr>
                <w:rFonts w:cs="Arial"/>
                <w:szCs w:val="24"/>
              </w:rPr>
              <w:t>bewerten Werbeaussagen zu Hauptnährstoffträgern und zeigen an Beispielen Konflikte zwischen wirtschaftlichem Interesse und tatsächlichem Gesundheitswert auf (B3)</w:t>
            </w:r>
          </w:p>
        </w:tc>
        <w:tc>
          <w:tcPr>
            <w:tcW w:w="576" w:type="dxa"/>
          </w:tcPr>
          <w:p w14:paraId="50EDB1D5" w14:textId="77777777" w:rsidR="009F2C7E" w:rsidRPr="00B20253" w:rsidRDefault="009F2C7E" w:rsidP="009F2C7E">
            <w:pPr>
              <w:ind w:left="-57" w:right="-57"/>
              <w:jc w:val="left"/>
              <w:rPr>
                <w:b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9CC18E3" w14:textId="77777777" w:rsidR="009F2C7E" w:rsidRPr="00B20253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</w:p>
        </w:tc>
      </w:tr>
    </w:tbl>
    <w:p w14:paraId="6DA26D80" w14:textId="77777777" w:rsidR="00425828" w:rsidRDefault="00425828" w:rsidP="009F2C7E">
      <w:pPr>
        <w:ind w:left="-57" w:right="-57"/>
        <w:rPr>
          <w:sz w:val="28"/>
          <w:szCs w:val="28"/>
        </w:rPr>
        <w:sectPr w:rsidR="00425828" w:rsidSect="00AB4135">
          <w:pgSz w:w="11900" w:h="16840"/>
          <w:pgMar w:top="1134" w:right="1418" w:bottom="851" w:left="1134" w:header="709" w:footer="1985" w:gutter="0"/>
          <w:cols w:space="708"/>
          <w:titlePg/>
        </w:sectPr>
      </w:pPr>
    </w:p>
    <w:p w14:paraId="77DA9FFB" w14:textId="31C1A9F8" w:rsidR="001161FF" w:rsidRPr="007D4394" w:rsidRDefault="001161FF" w:rsidP="009F2C7E">
      <w:pPr>
        <w:ind w:left="-57" w:right="-57"/>
        <w:rPr>
          <w:sz w:val="28"/>
          <w:szCs w:val="28"/>
        </w:rPr>
      </w:pPr>
    </w:p>
    <w:tbl>
      <w:tblPr>
        <w:tblStyle w:val="Tabellenraster"/>
        <w:tblW w:w="10815" w:type="dxa"/>
        <w:tblInd w:w="-601" w:type="dxa"/>
        <w:tblLook w:val="04A0" w:firstRow="1" w:lastRow="0" w:firstColumn="1" w:lastColumn="0" w:noHBand="0" w:noVBand="1"/>
      </w:tblPr>
      <w:tblGrid>
        <w:gridCol w:w="675"/>
        <w:gridCol w:w="4712"/>
        <w:gridCol w:w="761"/>
        <w:gridCol w:w="4646"/>
        <w:gridCol w:w="21"/>
      </w:tblGrid>
      <w:tr w:rsidR="003810B7" w:rsidRPr="002F1AB9" w14:paraId="78669A35" w14:textId="23CF3214" w:rsidTr="009F2C7E">
        <w:trPr>
          <w:gridAfter w:val="1"/>
          <w:wAfter w:w="21" w:type="dxa"/>
        </w:trPr>
        <w:tc>
          <w:tcPr>
            <w:tcW w:w="10794" w:type="dxa"/>
            <w:gridSpan w:val="4"/>
          </w:tcPr>
          <w:p w14:paraId="2CD7BD89" w14:textId="61DB7B98" w:rsidR="003810B7" w:rsidRPr="002F1AB9" w:rsidRDefault="003810B7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2F1AB9">
              <w:rPr>
                <w:rFonts w:cs="Arial"/>
                <w:b/>
                <w:szCs w:val="24"/>
              </w:rPr>
              <w:t>Inhaltsfeld II : Physiologie der Ernährung (Q)</w:t>
            </w:r>
          </w:p>
        </w:tc>
      </w:tr>
      <w:tr w:rsidR="009F2C7E" w:rsidRPr="002F1AB9" w14:paraId="72F62CBC" w14:textId="6B8EF7B9" w:rsidTr="009F2C7E">
        <w:tc>
          <w:tcPr>
            <w:tcW w:w="675" w:type="dxa"/>
          </w:tcPr>
          <w:p w14:paraId="1336E8DB" w14:textId="77777777" w:rsidR="009F2C7E" w:rsidRPr="002F1AB9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2F1AB9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4712" w:type="dxa"/>
          </w:tcPr>
          <w:p w14:paraId="3C8FC7F1" w14:textId="1D88E3D2" w:rsidR="009F2C7E" w:rsidRPr="002F1AB9" w:rsidRDefault="009F2C7E" w:rsidP="009F2C7E">
            <w:pPr>
              <w:spacing w:before="60" w:after="60"/>
              <w:ind w:left="-57" w:right="-57" w:firstLine="73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 xml:space="preserve">erwartungen </w:t>
            </w:r>
          </w:p>
        </w:tc>
        <w:tc>
          <w:tcPr>
            <w:tcW w:w="761" w:type="dxa"/>
          </w:tcPr>
          <w:p w14:paraId="66C274EF" w14:textId="0C12845F" w:rsidR="009F2C7E" w:rsidRPr="002F1AB9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2F1AB9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4667" w:type="dxa"/>
            <w:gridSpan w:val="2"/>
          </w:tcPr>
          <w:p w14:paraId="4D0CD10F" w14:textId="7D7E2B1F" w:rsidR="009F2C7E" w:rsidRPr="002F1AB9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 xml:space="preserve">erwartungen </w:t>
            </w:r>
          </w:p>
        </w:tc>
      </w:tr>
      <w:tr w:rsidR="002F1AB9" w:rsidRPr="002F1AB9" w14:paraId="2822FCD4" w14:textId="7FBD1D4A" w:rsidTr="009F2C7E">
        <w:tc>
          <w:tcPr>
            <w:tcW w:w="675" w:type="dxa"/>
          </w:tcPr>
          <w:p w14:paraId="691F0D5F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1</w:t>
            </w:r>
          </w:p>
        </w:tc>
        <w:tc>
          <w:tcPr>
            <w:tcW w:w="4712" w:type="dxa"/>
          </w:tcPr>
          <w:p w14:paraId="6750F710" w14:textId="3CA485AF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erläutern in Grundzügen die spezifischen Aufgaben der am Stoffwechsel beteiligten Organsystem</w:t>
            </w:r>
            <w:r w:rsidR="00D542B8">
              <w:rPr>
                <w:rFonts w:cs="Arial"/>
                <w:szCs w:val="24"/>
              </w:rPr>
              <w:t>e und das funktionelle Zusammen</w:t>
            </w:r>
            <w:r w:rsidRPr="002F1AB9">
              <w:rPr>
                <w:rFonts w:cs="Arial"/>
                <w:szCs w:val="24"/>
              </w:rPr>
              <w:t>wirken dieser Organsysteme (UF1, UF4)</w:t>
            </w:r>
          </w:p>
        </w:tc>
        <w:tc>
          <w:tcPr>
            <w:tcW w:w="761" w:type="dxa"/>
          </w:tcPr>
          <w:p w14:paraId="15198EDB" w14:textId="6FAC63B1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b/>
                <w:szCs w:val="24"/>
              </w:rPr>
              <w:t>II.10</w:t>
            </w:r>
          </w:p>
        </w:tc>
        <w:tc>
          <w:tcPr>
            <w:tcW w:w="4667" w:type="dxa"/>
            <w:gridSpan w:val="2"/>
          </w:tcPr>
          <w:p w14:paraId="108A1B7D" w14:textId="06DFA9A2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erklären mögliche Stoffwechsel</w:t>
            </w:r>
            <w:r w:rsidRPr="002F1AB9">
              <w:rPr>
                <w:rFonts w:cs="Arial"/>
                <w:szCs w:val="24"/>
              </w:rPr>
              <w:t xml:space="preserve">störungen und deren Folgen mit </w:t>
            </w:r>
            <w:r>
              <w:rPr>
                <w:rFonts w:cs="Arial"/>
                <w:szCs w:val="24"/>
              </w:rPr>
              <w:t>Modellen zur hormonellen Regula</w:t>
            </w:r>
            <w:r w:rsidRPr="002F1AB9">
              <w:rPr>
                <w:rFonts w:cs="Arial"/>
                <w:szCs w:val="24"/>
              </w:rPr>
              <w:t>tion des Mineralstoffwechsels (E6)</w:t>
            </w:r>
          </w:p>
        </w:tc>
      </w:tr>
      <w:tr w:rsidR="002F1AB9" w:rsidRPr="002F1AB9" w14:paraId="3DF8AEBE" w14:textId="1D4D392B" w:rsidTr="009F2C7E">
        <w:tc>
          <w:tcPr>
            <w:tcW w:w="675" w:type="dxa"/>
          </w:tcPr>
          <w:p w14:paraId="614A0696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2</w:t>
            </w:r>
          </w:p>
        </w:tc>
        <w:tc>
          <w:tcPr>
            <w:tcW w:w="4712" w:type="dxa"/>
          </w:tcPr>
          <w:p w14:paraId="6FEBA3D2" w14:textId="77777777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 xml:space="preserve">erläutern die </w:t>
            </w:r>
            <w:proofErr w:type="spellStart"/>
            <w:r w:rsidRPr="002F1AB9">
              <w:rPr>
                <w:rFonts w:cs="Arial"/>
                <w:szCs w:val="24"/>
              </w:rPr>
              <w:t>Reglerfunktion</w:t>
            </w:r>
            <w:proofErr w:type="spellEnd"/>
            <w:r w:rsidRPr="002F1AB9">
              <w:rPr>
                <w:rFonts w:cs="Arial"/>
                <w:szCs w:val="24"/>
              </w:rPr>
              <w:t xml:space="preserve"> der Vitamine und Mineralstoffe im menschlichen Organismus (UF1)</w:t>
            </w:r>
          </w:p>
        </w:tc>
        <w:tc>
          <w:tcPr>
            <w:tcW w:w="761" w:type="dxa"/>
          </w:tcPr>
          <w:p w14:paraId="3696E749" w14:textId="37913EAD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II.11</w:t>
            </w:r>
          </w:p>
        </w:tc>
        <w:tc>
          <w:tcPr>
            <w:tcW w:w="4667" w:type="dxa"/>
            <w:gridSpan w:val="2"/>
          </w:tcPr>
          <w:p w14:paraId="5633ABFE" w14:textId="4922D0D9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verdeutlichen Bau und Wirkungs</w:t>
            </w:r>
            <w:r w:rsidRPr="002F1AB9">
              <w:rPr>
                <w:rFonts w:cs="Arial"/>
                <w:szCs w:val="24"/>
              </w:rPr>
              <w:t xml:space="preserve">weise von Enzymen und </w:t>
            </w:r>
            <w:proofErr w:type="spellStart"/>
            <w:r w:rsidRPr="002F1AB9">
              <w:rPr>
                <w:rFonts w:cs="Arial"/>
                <w:szCs w:val="24"/>
              </w:rPr>
              <w:t>Coenzymen</w:t>
            </w:r>
            <w:proofErr w:type="spellEnd"/>
            <w:r w:rsidRPr="002F1AB9">
              <w:rPr>
                <w:rFonts w:cs="Arial"/>
                <w:szCs w:val="24"/>
              </w:rPr>
              <w:t xml:space="preserve"> mit Modellen (E6)</w:t>
            </w:r>
          </w:p>
        </w:tc>
      </w:tr>
      <w:tr w:rsidR="002F1AB9" w:rsidRPr="002F1AB9" w14:paraId="2F4860ED" w14:textId="175A0C43" w:rsidTr="009F2C7E">
        <w:tc>
          <w:tcPr>
            <w:tcW w:w="675" w:type="dxa"/>
          </w:tcPr>
          <w:p w14:paraId="085487D1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3</w:t>
            </w:r>
          </w:p>
        </w:tc>
        <w:tc>
          <w:tcPr>
            <w:tcW w:w="4712" w:type="dxa"/>
          </w:tcPr>
          <w:p w14:paraId="2DEB19C5" w14:textId="77777777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 xml:space="preserve">beschreiben die anabolen und katabolen Stoffwechselwege der Hauptnährstoffe im Hinblick auf die zentrale Stellung des </w:t>
            </w:r>
            <w:proofErr w:type="spellStart"/>
            <w:r w:rsidRPr="002F1AB9">
              <w:rPr>
                <w:rFonts w:cs="Arial"/>
                <w:szCs w:val="24"/>
              </w:rPr>
              <w:t>Citratzyklus</w:t>
            </w:r>
            <w:proofErr w:type="spellEnd"/>
            <w:r w:rsidRPr="002F1AB9">
              <w:rPr>
                <w:rFonts w:cs="Arial"/>
                <w:szCs w:val="24"/>
              </w:rPr>
              <w:t xml:space="preserve"> im intermediären Stoffwechsel (U4)</w:t>
            </w:r>
          </w:p>
        </w:tc>
        <w:tc>
          <w:tcPr>
            <w:tcW w:w="761" w:type="dxa"/>
          </w:tcPr>
          <w:p w14:paraId="749529C6" w14:textId="583444D0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II.12</w:t>
            </w:r>
          </w:p>
        </w:tc>
        <w:tc>
          <w:tcPr>
            <w:tcW w:w="4667" w:type="dxa"/>
            <w:gridSpan w:val="2"/>
          </w:tcPr>
          <w:p w14:paraId="19707D0E" w14:textId="4D7B6818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führen gesundheitliche Probleme auf Vitamin- und Mineralstoffmangel als Folge negativer Nährstoffbilanzen zurück und werten entsprechende Unter-</w:t>
            </w:r>
            <w:proofErr w:type="spellStart"/>
            <w:r w:rsidRPr="002F1AB9">
              <w:rPr>
                <w:rFonts w:cs="Arial"/>
                <w:szCs w:val="24"/>
              </w:rPr>
              <w:t>suchungsdaten</w:t>
            </w:r>
            <w:proofErr w:type="spellEnd"/>
            <w:r w:rsidRPr="002F1AB9">
              <w:rPr>
                <w:rFonts w:cs="Arial"/>
                <w:szCs w:val="24"/>
              </w:rPr>
              <w:t xml:space="preserve"> dazu aus (E1, E5)</w:t>
            </w:r>
          </w:p>
        </w:tc>
      </w:tr>
      <w:tr w:rsidR="002F1AB9" w:rsidRPr="002F1AB9" w14:paraId="55BF4CE9" w14:textId="0B7A39C3" w:rsidTr="009F2C7E">
        <w:tc>
          <w:tcPr>
            <w:tcW w:w="675" w:type="dxa"/>
          </w:tcPr>
          <w:p w14:paraId="06BB2D15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4</w:t>
            </w:r>
          </w:p>
        </w:tc>
        <w:tc>
          <w:tcPr>
            <w:tcW w:w="4712" w:type="dxa"/>
          </w:tcPr>
          <w:p w14:paraId="55BD2EF5" w14:textId="77777777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erläutern die Bedeutung von Wasser im menschlichen Körper (u.a. bei osmotischen Prozessen) (UF1)</w:t>
            </w:r>
          </w:p>
        </w:tc>
        <w:tc>
          <w:tcPr>
            <w:tcW w:w="761" w:type="dxa"/>
          </w:tcPr>
          <w:p w14:paraId="6B069FBD" w14:textId="1A0388D4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II.13</w:t>
            </w:r>
          </w:p>
        </w:tc>
        <w:tc>
          <w:tcPr>
            <w:tcW w:w="4667" w:type="dxa"/>
            <w:gridSpan w:val="2"/>
          </w:tcPr>
          <w:p w14:paraId="782B14CF" w14:textId="6AEDCF08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planen und bewerten Mahlzeiten</w:t>
            </w:r>
            <w:r>
              <w:rPr>
                <w:rFonts w:cs="Arial"/>
                <w:szCs w:val="24"/>
              </w:rPr>
              <w:t xml:space="preserve"> unter dem Aspekt der Bioverfüg</w:t>
            </w:r>
            <w:r w:rsidRPr="002F1AB9">
              <w:rPr>
                <w:rFonts w:cs="Arial"/>
                <w:szCs w:val="24"/>
              </w:rPr>
              <w:t>barkeit von ausgewählten Mineralstoffen und Vitaminen (E4)</w:t>
            </w:r>
          </w:p>
        </w:tc>
      </w:tr>
      <w:tr w:rsidR="002F1AB9" w:rsidRPr="002F1AB9" w14:paraId="016FBE3F" w14:textId="27CA52D8" w:rsidTr="009F2C7E">
        <w:tc>
          <w:tcPr>
            <w:tcW w:w="675" w:type="dxa"/>
          </w:tcPr>
          <w:p w14:paraId="26F673AB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5</w:t>
            </w:r>
          </w:p>
        </w:tc>
        <w:tc>
          <w:tcPr>
            <w:tcW w:w="4712" w:type="dxa"/>
          </w:tcPr>
          <w:p w14:paraId="57C0259C" w14:textId="1FC2DC9E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systematisieren Lebensmittel nach ihrem Gehalt an Mineralstoffen und Vitaminen sowie resorptions</w:t>
            </w:r>
            <w:r>
              <w:rPr>
                <w:rFonts w:cs="Arial"/>
                <w:szCs w:val="24"/>
              </w:rPr>
              <w:t>-</w:t>
            </w:r>
            <w:r w:rsidRPr="002F1AB9">
              <w:rPr>
                <w:rFonts w:cs="Arial"/>
                <w:szCs w:val="24"/>
              </w:rPr>
              <w:t>fördernden und -hemmenden Lebensmittelinhaltsstoffen (UF3)</w:t>
            </w:r>
          </w:p>
        </w:tc>
        <w:tc>
          <w:tcPr>
            <w:tcW w:w="761" w:type="dxa"/>
          </w:tcPr>
          <w:p w14:paraId="17D8F5DF" w14:textId="1683F995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II.14</w:t>
            </w:r>
          </w:p>
        </w:tc>
        <w:tc>
          <w:tcPr>
            <w:tcW w:w="4667" w:type="dxa"/>
            <w:gridSpan w:val="2"/>
          </w:tcPr>
          <w:p w14:paraId="795D37D6" w14:textId="600A8FEF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dokumentieren nachvollziehbar Untersuchungsergebnisse (u.a. zu den Nährstoffverlusten) (K1)</w:t>
            </w:r>
          </w:p>
        </w:tc>
      </w:tr>
      <w:tr w:rsidR="002F1AB9" w:rsidRPr="002F1AB9" w14:paraId="54D94B50" w14:textId="0834060E" w:rsidTr="009F2C7E">
        <w:tc>
          <w:tcPr>
            <w:tcW w:w="675" w:type="dxa"/>
          </w:tcPr>
          <w:p w14:paraId="36E231EE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6</w:t>
            </w:r>
          </w:p>
        </w:tc>
        <w:tc>
          <w:tcPr>
            <w:tcW w:w="4712" w:type="dxa"/>
          </w:tcPr>
          <w:p w14:paraId="1EA25666" w14:textId="77777777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werten Untersuchungsdaten zum unterschiedlichen Energiegewinn aus anaeroben und aeroben Prozessen unter Einbeziehung der Rolle der Energie- und Reduktionsäquivalente aus (E5)</w:t>
            </w:r>
          </w:p>
        </w:tc>
        <w:tc>
          <w:tcPr>
            <w:tcW w:w="761" w:type="dxa"/>
          </w:tcPr>
          <w:p w14:paraId="4ED8FD8F" w14:textId="1040B69E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II.15</w:t>
            </w:r>
          </w:p>
        </w:tc>
        <w:tc>
          <w:tcPr>
            <w:tcW w:w="4667" w:type="dxa"/>
            <w:gridSpan w:val="2"/>
          </w:tcPr>
          <w:p w14:paraId="758432CF" w14:textId="1DAA895E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beschreiben und präsentieren Resorption und Stoffwechsel der Hauptnährstoffe sowie ausgewählter Vitamine und Mineralstoffe in unterschiedlichen fachspezifischen Darstellungsformen (K3)</w:t>
            </w:r>
          </w:p>
        </w:tc>
      </w:tr>
      <w:tr w:rsidR="002F1AB9" w:rsidRPr="002F1AB9" w14:paraId="6DF64262" w14:textId="6B9E238F" w:rsidTr="009F2C7E">
        <w:tc>
          <w:tcPr>
            <w:tcW w:w="675" w:type="dxa"/>
          </w:tcPr>
          <w:p w14:paraId="2F2B281C" w14:textId="7777777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7</w:t>
            </w:r>
          </w:p>
        </w:tc>
        <w:tc>
          <w:tcPr>
            <w:tcW w:w="4712" w:type="dxa"/>
          </w:tcPr>
          <w:p w14:paraId="3503CDAD" w14:textId="0861AA97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planen Experimente zur Gärung und führen sie durch (E4)</w:t>
            </w:r>
          </w:p>
        </w:tc>
        <w:tc>
          <w:tcPr>
            <w:tcW w:w="761" w:type="dxa"/>
          </w:tcPr>
          <w:p w14:paraId="2CC7289A" w14:textId="326496F1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II.16</w:t>
            </w:r>
          </w:p>
        </w:tc>
        <w:tc>
          <w:tcPr>
            <w:tcW w:w="4667" w:type="dxa"/>
            <w:gridSpan w:val="2"/>
          </w:tcPr>
          <w:p w14:paraId="6F6D54F7" w14:textId="1FB9D36A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recherchieren selbstständig begriffliche Zusammenhänge in ausgewählter Fach</w:t>
            </w:r>
            <w:r w:rsidR="002B016A">
              <w:rPr>
                <w:rFonts w:cs="Arial"/>
                <w:szCs w:val="24"/>
              </w:rPr>
              <w:t>-</w:t>
            </w:r>
            <w:r w:rsidRPr="002F1AB9">
              <w:rPr>
                <w:rFonts w:cs="Arial"/>
                <w:szCs w:val="24"/>
              </w:rPr>
              <w:t xml:space="preserve">literatur und werten </w:t>
            </w:r>
            <w:proofErr w:type="spellStart"/>
            <w:r w:rsidRPr="002F1AB9">
              <w:rPr>
                <w:rFonts w:cs="Arial"/>
                <w:szCs w:val="24"/>
              </w:rPr>
              <w:t>kriterienorientiert</w:t>
            </w:r>
            <w:proofErr w:type="spellEnd"/>
            <w:r w:rsidRPr="002F1AB9">
              <w:rPr>
                <w:rFonts w:cs="Arial"/>
                <w:szCs w:val="24"/>
              </w:rPr>
              <w:t xml:space="preserve"> ihre Ergebnisse aus (u.a. zur Genese und Häufigkeit von Hypo-, Hyper- und Avitaminosen) (K2)</w:t>
            </w:r>
          </w:p>
        </w:tc>
      </w:tr>
      <w:tr w:rsidR="002F1AB9" w:rsidRPr="002F1AB9" w14:paraId="657C4810" w14:textId="77777777" w:rsidTr="009F2C7E">
        <w:tc>
          <w:tcPr>
            <w:tcW w:w="675" w:type="dxa"/>
          </w:tcPr>
          <w:p w14:paraId="43C9C628" w14:textId="5E19B126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8</w:t>
            </w:r>
          </w:p>
        </w:tc>
        <w:tc>
          <w:tcPr>
            <w:tcW w:w="4712" w:type="dxa"/>
          </w:tcPr>
          <w:p w14:paraId="2EC3B656" w14:textId="6178E608" w:rsidR="002F1AB9" w:rsidRPr="002F1AB9" w:rsidRDefault="002F1AB9" w:rsidP="00CD5AF5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werten statistische Daten zur aktuellen Vitamin- und Mineralstoffversorgung im Vergleich zu den D-A-CH-Referenzwerten aus (E5)</w:t>
            </w:r>
          </w:p>
        </w:tc>
        <w:tc>
          <w:tcPr>
            <w:tcW w:w="761" w:type="dxa"/>
          </w:tcPr>
          <w:p w14:paraId="2536D7DC" w14:textId="5D87CB3B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II.17</w:t>
            </w:r>
          </w:p>
        </w:tc>
        <w:tc>
          <w:tcPr>
            <w:tcW w:w="4667" w:type="dxa"/>
            <w:gridSpan w:val="2"/>
          </w:tcPr>
          <w:p w14:paraId="4403EBDD" w14:textId="3D8C815B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diskutieren Aussagen in Medien zur Nährstoffversorgung über Lebensmittel und deren Zubereitung und belegen bzw. widerlegen die Behauptungen (K4)</w:t>
            </w:r>
          </w:p>
        </w:tc>
      </w:tr>
      <w:tr w:rsidR="002F1AB9" w:rsidRPr="002F1AB9" w14:paraId="75031D5B" w14:textId="77777777" w:rsidTr="009F2C7E">
        <w:tc>
          <w:tcPr>
            <w:tcW w:w="675" w:type="dxa"/>
          </w:tcPr>
          <w:p w14:paraId="4E902919" w14:textId="3C37BBF7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 9</w:t>
            </w:r>
          </w:p>
        </w:tc>
        <w:tc>
          <w:tcPr>
            <w:tcW w:w="4712" w:type="dxa"/>
          </w:tcPr>
          <w:p w14:paraId="0B857C80" w14:textId="4132D1BD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beschreiben Einflussfaktoren auf den Wasserbedarf und leiten Empfehlungen für die Höhe der Zufuhr ab (E1)</w:t>
            </w:r>
          </w:p>
        </w:tc>
        <w:tc>
          <w:tcPr>
            <w:tcW w:w="761" w:type="dxa"/>
          </w:tcPr>
          <w:p w14:paraId="1B05FADE" w14:textId="524B619D" w:rsidR="002F1AB9" w:rsidRPr="002F1AB9" w:rsidRDefault="002F1AB9" w:rsidP="009F2C7E">
            <w:pPr>
              <w:spacing w:before="120" w:after="120"/>
              <w:ind w:left="-57" w:right="-57"/>
              <w:jc w:val="left"/>
              <w:rPr>
                <w:b/>
                <w:szCs w:val="24"/>
              </w:rPr>
            </w:pPr>
            <w:r w:rsidRPr="002F1AB9">
              <w:rPr>
                <w:b/>
                <w:szCs w:val="24"/>
              </w:rPr>
              <w:t>II.18</w:t>
            </w:r>
          </w:p>
        </w:tc>
        <w:tc>
          <w:tcPr>
            <w:tcW w:w="4667" w:type="dxa"/>
            <w:gridSpan w:val="2"/>
          </w:tcPr>
          <w:p w14:paraId="4F75CB3F" w14:textId="1C8BED9C" w:rsidR="002F1AB9" w:rsidRPr="002F1AB9" w:rsidRDefault="002F1AB9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F1AB9">
              <w:rPr>
                <w:rFonts w:cs="Arial"/>
                <w:szCs w:val="24"/>
              </w:rPr>
              <w:t>beschreiben unterschiedliche Perspektiven zum Konsum von Nahrungsergänzungs</w:t>
            </w:r>
            <w:r w:rsidR="00CD5AF5">
              <w:rPr>
                <w:rFonts w:cs="Arial"/>
                <w:szCs w:val="24"/>
              </w:rPr>
              <w:t>-</w:t>
            </w:r>
            <w:r w:rsidRPr="002F1AB9">
              <w:rPr>
                <w:rFonts w:cs="Arial"/>
                <w:szCs w:val="24"/>
              </w:rPr>
              <w:t>mitteln, bewerten deren Effektivität und Risiken aus fachwissenschaftlicher Sicht und beziehen eine eigene Position dazu  (B1, B2)</w:t>
            </w:r>
          </w:p>
        </w:tc>
      </w:tr>
    </w:tbl>
    <w:p w14:paraId="3D4C0E42" w14:textId="77777777" w:rsidR="002B016A" w:rsidRDefault="002B016A" w:rsidP="009F2C7E">
      <w:pPr>
        <w:ind w:left="-57" w:right="-57"/>
        <w:rPr>
          <w:rFonts w:cs="Arial"/>
          <w:b/>
          <w:sz w:val="28"/>
          <w:szCs w:val="28"/>
        </w:rPr>
        <w:sectPr w:rsidR="002B016A" w:rsidSect="00974545">
          <w:pgSz w:w="11900" w:h="16840"/>
          <w:pgMar w:top="1134" w:right="1418" w:bottom="993" w:left="1134" w:header="709" w:footer="1985" w:gutter="0"/>
          <w:cols w:space="708"/>
          <w:titlePg/>
        </w:sectPr>
      </w:pPr>
    </w:p>
    <w:p w14:paraId="75DC5FD9" w14:textId="77777777" w:rsidR="002B016A" w:rsidRPr="007D4394" w:rsidRDefault="002B016A" w:rsidP="009F2C7E">
      <w:pPr>
        <w:ind w:left="-57" w:right="-57"/>
        <w:rPr>
          <w:rFonts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X="-352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795"/>
        <w:gridCol w:w="4700"/>
        <w:gridCol w:w="750"/>
        <w:gridCol w:w="4778"/>
      </w:tblGrid>
      <w:tr w:rsidR="002B016A" w:rsidRPr="002B016A" w14:paraId="385C2BA2" w14:textId="15411284" w:rsidTr="009F2C7E">
        <w:tc>
          <w:tcPr>
            <w:tcW w:w="11023" w:type="dxa"/>
            <w:gridSpan w:val="4"/>
          </w:tcPr>
          <w:p w14:paraId="74A36F8E" w14:textId="3F274ABF" w:rsidR="002B016A" w:rsidRPr="00CD5AF5" w:rsidRDefault="002B016A" w:rsidP="00CD5AF5">
            <w:pPr>
              <w:ind w:left="-57" w:right="-57"/>
              <w:jc w:val="center"/>
              <w:rPr>
                <w:rFonts w:eastAsia="Calibri" w:cs="Arial"/>
                <w:b/>
                <w:szCs w:val="24"/>
                <w:lang w:eastAsia="en-US"/>
              </w:rPr>
            </w:pPr>
            <w:r w:rsidRPr="002B016A">
              <w:rPr>
                <w:rFonts w:cs="Arial"/>
                <w:b/>
                <w:szCs w:val="24"/>
              </w:rPr>
              <w:t xml:space="preserve">Inhaltsfeld III: </w:t>
            </w:r>
            <w:r w:rsidRPr="002B016A">
              <w:rPr>
                <w:rFonts w:eastAsia="Calibri" w:cs="Arial"/>
                <w:b/>
                <w:szCs w:val="24"/>
                <w:lang w:eastAsia="en-US"/>
              </w:rPr>
              <w:t>Ernährung in verschiedenen Lebensphasen und Lebenssituationen (Q)</w:t>
            </w:r>
          </w:p>
        </w:tc>
      </w:tr>
      <w:tr w:rsidR="009F2C7E" w:rsidRPr="002B016A" w14:paraId="23CB97C5" w14:textId="3CFB9698" w:rsidTr="009F2C7E">
        <w:tc>
          <w:tcPr>
            <w:tcW w:w="795" w:type="dxa"/>
          </w:tcPr>
          <w:p w14:paraId="4302C11D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Nr.</w:t>
            </w:r>
          </w:p>
        </w:tc>
        <w:tc>
          <w:tcPr>
            <w:tcW w:w="4700" w:type="dxa"/>
          </w:tcPr>
          <w:p w14:paraId="5BB75884" w14:textId="368E59F8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  <w:tc>
          <w:tcPr>
            <w:tcW w:w="750" w:type="dxa"/>
          </w:tcPr>
          <w:p w14:paraId="1ACD1060" w14:textId="2907647D" w:rsidR="009F2C7E" w:rsidRPr="002B016A" w:rsidRDefault="009F2C7E" w:rsidP="009F2C7E">
            <w:pPr>
              <w:spacing w:before="120" w:after="120"/>
              <w:ind w:left="-57" w:right="-57"/>
              <w:jc w:val="left"/>
              <w:rPr>
                <w:rFonts w:cs="Arial"/>
                <w:b/>
                <w:szCs w:val="24"/>
              </w:rPr>
            </w:pPr>
            <w:r w:rsidRPr="002B016A">
              <w:rPr>
                <w:b/>
                <w:szCs w:val="24"/>
              </w:rPr>
              <w:t>Nr.</w:t>
            </w:r>
          </w:p>
        </w:tc>
        <w:tc>
          <w:tcPr>
            <w:tcW w:w="4778" w:type="dxa"/>
          </w:tcPr>
          <w:p w14:paraId="47F9ED78" w14:textId="229E862E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</w:tr>
      <w:tr w:rsidR="009F2C7E" w:rsidRPr="002B016A" w14:paraId="06925F18" w14:textId="5A17F014" w:rsidTr="009F2C7E">
        <w:tc>
          <w:tcPr>
            <w:tcW w:w="795" w:type="dxa"/>
          </w:tcPr>
          <w:p w14:paraId="548A35E9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1</w:t>
            </w:r>
          </w:p>
        </w:tc>
        <w:tc>
          <w:tcPr>
            <w:tcW w:w="4700" w:type="dxa"/>
          </w:tcPr>
          <w:p w14:paraId="55430136" w14:textId="12E5AF09" w:rsidR="009F2C7E" w:rsidRPr="002B016A" w:rsidRDefault="00D542B8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erklären Unterschiede im Gesamt</w:t>
            </w:r>
            <w:r w:rsidR="009F2C7E" w:rsidRPr="002B016A">
              <w:rPr>
                <w:rFonts w:cs="Arial"/>
                <w:szCs w:val="24"/>
              </w:rPr>
              <w:t xml:space="preserve">energie- und –nährstoffbedarf von verschiedenen Altersstufen und Berufsgruppen sowie in speziellen Lebenssituationen unter </w:t>
            </w:r>
            <w:proofErr w:type="spellStart"/>
            <w:r w:rsidR="009F2C7E" w:rsidRPr="002B016A">
              <w:rPr>
                <w:rFonts w:cs="Arial"/>
                <w:szCs w:val="24"/>
              </w:rPr>
              <w:t>Einbe</w:t>
            </w:r>
            <w:proofErr w:type="spellEnd"/>
            <w:r w:rsidR="009F2C7E">
              <w:rPr>
                <w:rFonts w:cs="Arial"/>
                <w:szCs w:val="24"/>
              </w:rPr>
              <w:t>-</w:t>
            </w:r>
            <w:r w:rsidR="009F2C7E" w:rsidRPr="002B016A">
              <w:rPr>
                <w:rFonts w:cs="Arial"/>
                <w:szCs w:val="24"/>
              </w:rPr>
              <w:t>ziehung der D-A-CH-Referenzwerte und der Besonderheiten im Stoffwechsel (UF1, UF2)</w:t>
            </w:r>
          </w:p>
        </w:tc>
        <w:tc>
          <w:tcPr>
            <w:tcW w:w="750" w:type="dxa"/>
          </w:tcPr>
          <w:p w14:paraId="63622726" w14:textId="63524C47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b/>
                <w:szCs w:val="24"/>
              </w:rPr>
              <w:t>III. 8</w:t>
            </w:r>
          </w:p>
        </w:tc>
        <w:tc>
          <w:tcPr>
            <w:tcW w:w="4778" w:type="dxa"/>
          </w:tcPr>
          <w:p w14:paraId="4784CE9F" w14:textId="654D9B79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dokumentieren ihre Arbeitsergebnisse (u.a. Bedarfsanalysen) sachgerecht, stellen sie medial gestaltet dar und präsentieren sie adressatengerecht (K1, K3)</w:t>
            </w:r>
          </w:p>
        </w:tc>
      </w:tr>
      <w:tr w:rsidR="009F2C7E" w:rsidRPr="002B016A" w14:paraId="46F0B8E6" w14:textId="4CF7803A" w:rsidTr="009F2C7E">
        <w:tc>
          <w:tcPr>
            <w:tcW w:w="795" w:type="dxa"/>
          </w:tcPr>
          <w:p w14:paraId="3856D377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2</w:t>
            </w:r>
          </w:p>
        </w:tc>
        <w:tc>
          <w:tcPr>
            <w:tcW w:w="4700" w:type="dxa"/>
          </w:tcPr>
          <w:p w14:paraId="75FB5B76" w14:textId="77777777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benennen Kriterien zur Beurteilung von Tageskostplänen im Hinblick auf die Bedarfsdeckung (UF1, UF4)</w:t>
            </w:r>
          </w:p>
        </w:tc>
        <w:tc>
          <w:tcPr>
            <w:tcW w:w="750" w:type="dxa"/>
          </w:tcPr>
          <w:p w14:paraId="4DFF2270" w14:textId="7E541555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b/>
                <w:szCs w:val="24"/>
              </w:rPr>
              <w:t>III. 9</w:t>
            </w:r>
          </w:p>
        </w:tc>
        <w:tc>
          <w:tcPr>
            <w:tcW w:w="4778" w:type="dxa"/>
          </w:tcPr>
          <w:p w14:paraId="4FD8F5B5" w14:textId="63BA4569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verwenden Fallbeispiele zur Verdeutlichung ernährungsphysiologischer Zusammen</w:t>
            </w:r>
            <w:r w:rsidR="00D542B8">
              <w:rPr>
                <w:rFonts w:cs="Arial"/>
                <w:szCs w:val="24"/>
              </w:rPr>
              <w:t>-</w:t>
            </w:r>
            <w:r w:rsidRPr="002B016A">
              <w:rPr>
                <w:rFonts w:cs="Arial"/>
                <w:szCs w:val="24"/>
              </w:rPr>
              <w:t>hänge (u.a. zum Ein</w:t>
            </w:r>
            <w:r>
              <w:rPr>
                <w:rFonts w:cs="Arial"/>
                <w:szCs w:val="24"/>
              </w:rPr>
              <w:t>fluss der verschieden</w:t>
            </w:r>
            <w:r w:rsidR="00D542B8">
              <w:rPr>
                <w:rFonts w:cs="Arial"/>
                <w:szCs w:val="24"/>
              </w:rPr>
              <w:t>-</w:t>
            </w:r>
            <w:r w:rsidRPr="002B016A">
              <w:rPr>
                <w:rFonts w:cs="Arial"/>
                <w:szCs w:val="24"/>
              </w:rPr>
              <w:t>en energieliefernden Substrate auf die Leistung und zur Begründung einer sinnvollen Nährstoffrelation) (K3)</w:t>
            </w:r>
          </w:p>
        </w:tc>
      </w:tr>
      <w:tr w:rsidR="009F2C7E" w:rsidRPr="002B016A" w14:paraId="473037BE" w14:textId="5157047C" w:rsidTr="009F2C7E">
        <w:tc>
          <w:tcPr>
            <w:tcW w:w="795" w:type="dxa"/>
          </w:tcPr>
          <w:p w14:paraId="1BF23349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3</w:t>
            </w:r>
          </w:p>
        </w:tc>
        <w:tc>
          <w:tcPr>
            <w:tcW w:w="4700" w:type="dxa"/>
          </w:tcPr>
          <w:p w14:paraId="35A6484B" w14:textId="0BCF0814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analysieren den Lebensmittel</w:t>
            </w:r>
            <w:r w:rsidRPr="002B016A">
              <w:rPr>
                <w:rFonts w:cs="Arial"/>
                <w:szCs w:val="24"/>
              </w:rPr>
              <w:t>verzehr mit epidemiologischen Methoden und werten die Ergebnisse im Hinblick auf den Ernährungsstatus aus, auch mit digitalen Werkzeugen (E4, E5)</w:t>
            </w:r>
          </w:p>
        </w:tc>
        <w:tc>
          <w:tcPr>
            <w:tcW w:w="750" w:type="dxa"/>
          </w:tcPr>
          <w:p w14:paraId="1253D9D3" w14:textId="307C45BA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III.10</w:t>
            </w:r>
          </w:p>
        </w:tc>
        <w:tc>
          <w:tcPr>
            <w:tcW w:w="4778" w:type="dxa"/>
          </w:tcPr>
          <w:p w14:paraId="35D81FC9" w14:textId="230FEDB4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recherchieren für eine ausgewählte Per</w:t>
            </w:r>
            <w:r w:rsidR="00D542B8">
              <w:rPr>
                <w:rFonts w:cs="Arial"/>
                <w:szCs w:val="24"/>
              </w:rPr>
              <w:t>-</w:t>
            </w:r>
            <w:proofErr w:type="spellStart"/>
            <w:r w:rsidRPr="002B016A">
              <w:rPr>
                <w:rFonts w:cs="Arial"/>
                <w:szCs w:val="24"/>
              </w:rPr>
              <w:t>sonengruppe</w:t>
            </w:r>
            <w:proofErr w:type="spellEnd"/>
            <w:r w:rsidRPr="002B016A">
              <w:rPr>
                <w:rFonts w:cs="Arial"/>
                <w:szCs w:val="24"/>
              </w:rPr>
              <w:t xml:space="preserve"> bezogen auf z.B. Alter, Beruf oder spezielle Lebens-</w:t>
            </w:r>
            <w:r w:rsidR="00D542B8">
              <w:rPr>
                <w:rFonts w:cs="Arial"/>
                <w:szCs w:val="24"/>
              </w:rPr>
              <w:t xml:space="preserve">situation den </w:t>
            </w:r>
            <w:proofErr w:type="spellStart"/>
            <w:r w:rsidR="00D542B8">
              <w:rPr>
                <w:rFonts w:cs="Arial"/>
                <w:szCs w:val="24"/>
              </w:rPr>
              <w:t>Ener-gie</w:t>
            </w:r>
            <w:proofErr w:type="spellEnd"/>
            <w:r w:rsidR="00D542B8">
              <w:rPr>
                <w:rFonts w:cs="Arial"/>
                <w:szCs w:val="24"/>
              </w:rPr>
              <w:t>- und Nähr</w:t>
            </w:r>
            <w:r w:rsidRPr="002B016A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toffbedarf und nutzen die Ergeb</w:t>
            </w:r>
            <w:r w:rsidRPr="002B016A">
              <w:rPr>
                <w:rFonts w:cs="Arial"/>
                <w:szCs w:val="24"/>
              </w:rPr>
              <w:t>nisse für Problemlösungen (K2, K4)</w:t>
            </w:r>
          </w:p>
        </w:tc>
      </w:tr>
      <w:tr w:rsidR="009F2C7E" w:rsidRPr="002B016A" w14:paraId="2F52F329" w14:textId="3F483B56" w:rsidTr="009F2C7E">
        <w:tc>
          <w:tcPr>
            <w:tcW w:w="795" w:type="dxa"/>
          </w:tcPr>
          <w:p w14:paraId="1FD74D57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4</w:t>
            </w:r>
          </w:p>
        </w:tc>
        <w:tc>
          <w:tcPr>
            <w:tcW w:w="4700" w:type="dxa"/>
          </w:tcPr>
          <w:p w14:paraId="21BEC9DD" w14:textId="351EE962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führen anthropometrische Messungen und Berechnungen zur Konkreti</w:t>
            </w:r>
            <w:r>
              <w:rPr>
                <w:rFonts w:cs="Arial"/>
                <w:szCs w:val="24"/>
              </w:rPr>
              <w:t>sierung des Ernährungs</w:t>
            </w:r>
            <w:r w:rsidRPr="002B016A">
              <w:rPr>
                <w:rFonts w:cs="Arial"/>
                <w:szCs w:val="24"/>
              </w:rPr>
              <w:t>status durch und werten sie aus (E4, E5)</w:t>
            </w:r>
          </w:p>
        </w:tc>
        <w:tc>
          <w:tcPr>
            <w:tcW w:w="750" w:type="dxa"/>
          </w:tcPr>
          <w:p w14:paraId="51191980" w14:textId="4E150482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III.11</w:t>
            </w:r>
          </w:p>
        </w:tc>
        <w:tc>
          <w:tcPr>
            <w:tcW w:w="4778" w:type="dxa"/>
          </w:tcPr>
          <w:p w14:paraId="4AF41360" w14:textId="2ADAC59E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begründen die Entwicklung von gruppen</w:t>
            </w:r>
            <w:r>
              <w:rPr>
                <w:rFonts w:cs="Arial"/>
                <w:szCs w:val="24"/>
              </w:rPr>
              <w:t>-bezogenen hin zu persona</w:t>
            </w:r>
            <w:r w:rsidRPr="002B016A">
              <w:rPr>
                <w:rFonts w:cs="Arial"/>
                <w:szCs w:val="24"/>
              </w:rPr>
              <w:t>lisierten Ernährungsempfehlungen</w:t>
            </w:r>
            <w:r>
              <w:rPr>
                <w:rFonts w:cs="Arial"/>
                <w:szCs w:val="24"/>
              </w:rPr>
              <w:t xml:space="preserve"> unter Berück-</w:t>
            </w:r>
            <w:proofErr w:type="spellStart"/>
            <w:r>
              <w:rPr>
                <w:rFonts w:cs="Arial"/>
                <w:szCs w:val="24"/>
              </w:rPr>
              <w:t>sichtigung</w:t>
            </w:r>
            <w:proofErr w:type="spellEnd"/>
            <w:r>
              <w:rPr>
                <w:rFonts w:cs="Arial"/>
                <w:szCs w:val="24"/>
              </w:rPr>
              <w:t xml:space="preserve"> des Ein</w:t>
            </w:r>
            <w:r w:rsidRPr="002B016A">
              <w:rPr>
                <w:rFonts w:cs="Arial"/>
                <w:szCs w:val="24"/>
              </w:rPr>
              <w:t>flusses genetischer Bedingungen und Umweltfaktoren (K4)</w:t>
            </w:r>
          </w:p>
        </w:tc>
      </w:tr>
      <w:tr w:rsidR="009F2C7E" w:rsidRPr="002B016A" w14:paraId="03478243" w14:textId="1098157B" w:rsidTr="009F2C7E">
        <w:tc>
          <w:tcPr>
            <w:tcW w:w="795" w:type="dxa"/>
          </w:tcPr>
          <w:p w14:paraId="1C473780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5</w:t>
            </w:r>
          </w:p>
        </w:tc>
        <w:tc>
          <w:tcPr>
            <w:tcW w:w="4700" w:type="dxa"/>
          </w:tcPr>
          <w:p w14:paraId="7328E78A" w14:textId="78A6D456" w:rsidR="009F2C7E" w:rsidRPr="002B016A" w:rsidRDefault="00D542B8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bestimmen den täglichen Energie</w:t>
            </w:r>
            <w:r w:rsidR="009F2C7E" w:rsidRPr="002B016A">
              <w:rPr>
                <w:rFonts w:cs="Arial"/>
                <w:szCs w:val="24"/>
              </w:rPr>
              <w:t xml:space="preserve">bedarf mit Hilfe des </w:t>
            </w:r>
            <w:proofErr w:type="spellStart"/>
            <w:r w:rsidR="009F2C7E" w:rsidRPr="002B016A">
              <w:rPr>
                <w:rFonts w:cs="Arial"/>
                <w:i/>
                <w:szCs w:val="24"/>
              </w:rPr>
              <w:t>physical</w:t>
            </w:r>
            <w:proofErr w:type="spellEnd"/>
            <w:r w:rsidR="009F2C7E" w:rsidRPr="002B016A">
              <w:rPr>
                <w:rFonts w:cs="Arial"/>
                <w:i/>
                <w:szCs w:val="24"/>
              </w:rPr>
              <w:t xml:space="preserve"> </w:t>
            </w:r>
            <w:proofErr w:type="spellStart"/>
            <w:r w:rsidR="009F2C7E" w:rsidRPr="002B016A">
              <w:rPr>
                <w:rFonts w:cs="Arial"/>
                <w:i/>
                <w:szCs w:val="24"/>
              </w:rPr>
              <w:t>activity</w:t>
            </w:r>
            <w:proofErr w:type="spellEnd"/>
            <w:r w:rsidR="009F2C7E" w:rsidRPr="002B016A">
              <w:rPr>
                <w:rFonts w:cs="Arial"/>
                <w:i/>
                <w:szCs w:val="24"/>
              </w:rPr>
              <w:t xml:space="preserve"> </w:t>
            </w:r>
            <w:proofErr w:type="spellStart"/>
            <w:r w:rsidR="009F2C7E" w:rsidRPr="002B016A">
              <w:rPr>
                <w:rFonts w:cs="Arial"/>
                <w:i/>
                <w:szCs w:val="24"/>
              </w:rPr>
              <w:t>levels</w:t>
            </w:r>
            <w:proofErr w:type="spellEnd"/>
            <w:r w:rsidR="009F2C7E" w:rsidRPr="002B016A">
              <w:rPr>
                <w:rFonts w:cs="Arial"/>
                <w:szCs w:val="24"/>
              </w:rPr>
              <w:t xml:space="preserve"> (PAL-Wert) und werten den täglichen Energieumsatz b</w:t>
            </w:r>
            <w:r>
              <w:rPr>
                <w:rFonts w:cs="Arial"/>
                <w:szCs w:val="24"/>
              </w:rPr>
              <w:t>ei unter</w:t>
            </w:r>
            <w:r w:rsidR="009F2C7E" w:rsidRPr="002B016A">
              <w:rPr>
                <w:rFonts w:cs="Arial"/>
                <w:szCs w:val="24"/>
              </w:rPr>
              <w:t>sc</w:t>
            </w:r>
            <w:r>
              <w:rPr>
                <w:rFonts w:cs="Arial"/>
                <w:szCs w:val="24"/>
              </w:rPr>
              <w:t>hiedlichen Berufs- und Freizeit</w:t>
            </w:r>
            <w:r w:rsidR="009F2C7E" w:rsidRPr="002B016A">
              <w:rPr>
                <w:rFonts w:cs="Arial"/>
                <w:szCs w:val="24"/>
              </w:rPr>
              <w:t>tätigkeiten von Referenzpersonen aus (E2, E5)</w:t>
            </w:r>
          </w:p>
        </w:tc>
        <w:tc>
          <w:tcPr>
            <w:tcW w:w="750" w:type="dxa"/>
          </w:tcPr>
          <w:p w14:paraId="357CCDBA" w14:textId="11E31736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III.12</w:t>
            </w:r>
          </w:p>
        </w:tc>
        <w:tc>
          <w:tcPr>
            <w:tcW w:w="4778" w:type="dxa"/>
          </w:tcPr>
          <w:p w14:paraId="332CEF8A" w14:textId="77777777" w:rsidR="00D542B8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bewerten Konfliktsituationen u.</w:t>
            </w:r>
            <w:r>
              <w:rPr>
                <w:rFonts w:cs="Arial"/>
                <w:szCs w:val="24"/>
              </w:rPr>
              <w:t>a. von Freizeit- oder Leistungs</w:t>
            </w:r>
            <w:r w:rsidRPr="002B016A">
              <w:rPr>
                <w:rFonts w:cs="Arial"/>
                <w:szCs w:val="24"/>
              </w:rPr>
              <w:t xml:space="preserve">sportlerinnen und </w:t>
            </w:r>
          </w:p>
          <w:p w14:paraId="0FED1B56" w14:textId="5DEE4431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-</w:t>
            </w:r>
            <w:proofErr w:type="spellStart"/>
            <w:r w:rsidRPr="002B016A">
              <w:rPr>
                <w:rFonts w:cs="Arial"/>
                <w:szCs w:val="24"/>
              </w:rPr>
              <w:t>sportlern</w:t>
            </w:r>
            <w:proofErr w:type="spellEnd"/>
            <w:r w:rsidRPr="002B016A">
              <w:rPr>
                <w:rFonts w:cs="Arial"/>
                <w:szCs w:val="24"/>
              </w:rPr>
              <w:t xml:space="preserve"> bei der Optimierung der Leistungsfähigkeit durch sportartgerechte Kostformen sowie leistungssteigernde Substanzen und beziehen </w:t>
            </w:r>
            <w:proofErr w:type="spellStart"/>
            <w:r w:rsidRPr="002B016A">
              <w:rPr>
                <w:rFonts w:cs="Arial"/>
                <w:szCs w:val="24"/>
              </w:rPr>
              <w:t>kriterienorientiert</w:t>
            </w:r>
            <w:proofErr w:type="spellEnd"/>
            <w:r w:rsidRPr="002B016A">
              <w:rPr>
                <w:rFonts w:cs="Arial"/>
                <w:szCs w:val="24"/>
              </w:rPr>
              <w:t xml:space="preserve"> eine fachlich fundierte Position (B1, B2, B3)</w:t>
            </w:r>
          </w:p>
        </w:tc>
      </w:tr>
      <w:tr w:rsidR="009F2C7E" w:rsidRPr="002B016A" w14:paraId="36B66CB9" w14:textId="163E5FA7" w:rsidTr="009F2C7E">
        <w:tc>
          <w:tcPr>
            <w:tcW w:w="795" w:type="dxa"/>
          </w:tcPr>
          <w:p w14:paraId="695CF1D2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6</w:t>
            </w:r>
          </w:p>
        </w:tc>
        <w:tc>
          <w:tcPr>
            <w:tcW w:w="4700" w:type="dxa"/>
          </w:tcPr>
          <w:p w14:paraId="2DB5E8F3" w14:textId="0688B465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>modellieren mit Hilfe von Ernährungs</w:t>
            </w:r>
            <w:r>
              <w:rPr>
                <w:rFonts w:cs="Arial"/>
                <w:szCs w:val="24"/>
              </w:rPr>
              <w:t>-</w:t>
            </w:r>
            <w:r w:rsidRPr="002B016A">
              <w:rPr>
                <w:rFonts w:cs="Arial"/>
                <w:szCs w:val="24"/>
              </w:rPr>
              <w:t>programmen die Optimierung der Nahrungszufuhr im Hinblick auf eine bedarfsgerechte Ernährung (E6)</w:t>
            </w:r>
          </w:p>
        </w:tc>
        <w:tc>
          <w:tcPr>
            <w:tcW w:w="750" w:type="dxa"/>
          </w:tcPr>
          <w:p w14:paraId="71E83FFD" w14:textId="65DFA32E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III.13</w:t>
            </w:r>
          </w:p>
        </w:tc>
        <w:tc>
          <w:tcPr>
            <w:tcW w:w="4778" w:type="dxa"/>
          </w:tcPr>
          <w:p w14:paraId="75EBC132" w14:textId="2F0BE1E2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bewerten, argumentieren und be</w:t>
            </w:r>
            <w:r w:rsidRPr="002B016A">
              <w:rPr>
                <w:rFonts w:cs="Arial"/>
                <w:szCs w:val="24"/>
              </w:rPr>
              <w:t xml:space="preserve">ziehen Position im Hinblick auf den </w:t>
            </w:r>
            <w:proofErr w:type="spellStart"/>
            <w:r w:rsidRPr="002B016A">
              <w:rPr>
                <w:rFonts w:cs="Arial"/>
                <w:szCs w:val="24"/>
              </w:rPr>
              <w:t>gesundheit</w:t>
            </w:r>
            <w:r>
              <w:rPr>
                <w:rFonts w:cs="Arial"/>
                <w:szCs w:val="24"/>
              </w:rPr>
              <w:t>-lichen</w:t>
            </w:r>
            <w:proofErr w:type="spellEnd"/>
            <w:r>
              <w:rPr>
                <w:rFonts w:cs="Arial"/>
                <w:szCs w:val="24"/>
              </w:rPr>
              <w:t xml:space="preserve"> Wert von Nah</w:t>
            </w:r>
            <w:r w:rsidRPr="002B016A">
              <w:rPr>
                <w:rFonts w:cs="Arial"/>
                <w:szCs w:val="24"/>
              </w:rPr>
              <w:t>rungsergänzungs</w:t>
            </w:r>
            <w:r>
              <w:rPr>
                <w:rFonts w:cs="Arial"/>
                <w:szCs w:val="24"/>
              </w:rPr>
              <w:t>-mitteln und funkti</w:t>
            </w:r>
            <w:r w:rsidRPr="002B016A">
              <w:rPr>
                <w:rFonts w:cs="Arial"/>
                <w:szCs w:val="24"/>
              </w:rPr>
              <w:t>one</w:t>
            </w:r>
            <w:r>
              <w:rPr>
                <w:rFonts w:cs="Arial"/>
                <w:szCs w:val="24"/>
              </w:rPr>
              <w:t>llen Lebensmitteln in der Ernäh</w:t>
            </w:r>
            <w:r w:rsidRPr="002B016A">
              <w:rPr>
                <w:rFonts w:cs="Arial"/>
                <w:szCs w:val="24"/>
              </w:rPr>
              <w:t>rung verschiedener Altersstufen und Berufsgruppen (B1, B2)</w:t>
            </w:r>
          </w:p>
        </w:tc>
      </w:tr>
      <w:tr w:rsidR="009F2C7E" w:rsidRPr="002B016A" w14:paraId="161E9676" w14:textId="705F97C4" w:rsidTr="009F2C7E">
        <w:tc>
          <w:tcPr>
            <w:tcW w:w="795" w:type="dxa"/>
          </w:tcPr>
          <w:p w14:paraId="473C4595" w14:textId="77777777" w:rsidR="009F2C7E" w:rsidRPr="002B016A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 7</w:t>
            </w:r>
          </w:p>
        </w:tc>
        <w:tc>
          <w:tcPr>
            <w:tcW w:w="4700" w:type="dxa"/>
          </w:tcPr>
          <w:p w14:paraId="6E4632FA" w14:textId="584D109D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 xml:space="preserve">werten </w:t>
            </w:r>
            <w:r w:rsidR="00D542B8">
              <w:rPr>
                <w:rFonts w:cs="Arial"/>
                <w:szCs w:val="24"/>
              </w:rPr>
              <w:t>Menüpläne nach Qualitäts</w:t>
            </w:r>
            <w:r w:rsidRPr="002B016A">
              <w:rPr>
                <w:rFonts w:cs="Arial"/>
                <w:szCs w:val="24"/>
              </w:rPr>
              <w:t>kriterien aus und ziehen Rück</w:t>
            </w:r>
            <w:r>
              <w:rPr>
                <w:rFonts w:cs="Arial"/>
                <w:szCs w:val="24"/>
              </w:rPr>
              <w:t>-</w:t>
            </w:r>
            <w:r w:rsidRPr="002B016A">
              <w:rPr>
                <w:rFonts w:cs="Arial"/>
                <w:szCs w:val="24"/>
              </w:rPr>
              <w:t>schlüsse auf die Bedarfsdeckung ausgewählter Probandinnen und Probanden (E5)</w:t>
            </w:r>
          </w:p>
        </w:tc>
        <w:tc>
          <w:tcPr>
            <w:tcW w:w="750" w:type="dxa"/>
          </w:tcPr>
          <w:p w14:paraId="1E4E3D1B" w14:textId="16921B53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2B016A">
              <w:rPr>
                <w:b/>
                <w:szCs w:val="24"/>
              </w:rPr>
              <w:t>III.14</w:t>
            </w:r>
          </w:p>
        </w:tc>
        <w:tc>
          <w:tcPr>
            <w:tcW w:w="4778" w:type="dxa"/>
          </w:tcPr>
          <w:p w14:paraId="3A8AF4DF" w14:textId="7E2F08CE" w:rsidR="009F2C7E" w:rsidRPr="002B016A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2B016A">
              <w:rPr>
                <w:rFonts w:cs="Arial"/>
                <w:szCs w:val="24"/>
              </w:rPr>
              <w:t xml:space="preserve">bewerten </w:t>
            </w:r>
            <w:proofErr w:type="spellStart"/>
            <w:r w:rsidRPr="002B016A">
              <w:rPr>
                <w:rFonts w:cs="Arial"/>
                <w:szCs w:val="24"/>
              </w:rPr>
              <w:t>kriterienorientiert</w:t>
            </w:r>
            <w:proofErr w:type="spellEnd"/>
            <w:r w:rsidRPr="002B016A">
              <w:rPr>
                <w:rFonts w:cs="Arial"/>
                <w:szCs w:val="24"/>
              </w:rPr>
              <w:t xml:space="preserve"> die Qualität von Verpflegungssystemen (B1, B2)</w:t>
            </w:r>
          </w:p>
        </w:tc>
      </w:tr>
    </w:tbl>
    <w:p w14:paraId="7DD594F5" w14:textId="77777777" w:rsidR="007337DD" w:rsidRPr="00E030B9" w:rsidRDefault="007337DD" w:rsidP="009F2C7E">
      <w:pPr>
        <w:spacing w:before="60" w:after="60"/>
        <w:ind w:left="-57" w:right="-57"/>
        <w:rPr>
          <w:rFonts w:cs="Arial"/>
          <w:b/>
          <w:szCs w:val="24"/>
        </w:rPr>
        <w:sectPr w:rsidR="007337DD" w:rsidRPr="00E030B9" w:rsidSect="00974545">
          <w:pgSz w:w="11900" w:h="16840"/>
          <w:pgMar w:top="1134" w:right="1418" w:bottom="993" w:left="1134" w:header="709" w:footer="1985" w:gutter="0"/>
          <w:cols w:space="708"/>
          <w:titlePg/>
        </w:sectPr>
      </w:pPr>
    </w:p>
    <w:p w14:paraId="24171F41" w14:textId="77777777" w:rsidR="007337DD" w:rsidRPr="00D93EDE" w:rsidRDefault="007337DD" w:rsidP="009F2C7E">
      <w:pPr>
        <w:ind w:left="-57" w:right="-57"/>
        <w:rPr>
          <w:sz w:val="16"/>
          <w:szCs w:val="16"/>
        </w:rPr>
      </w:pPr>
    </w:p>
    <w:tbl>
      <w:tblPr>
        <w:tblStyle w:val="Tabellenraster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7"/>
        <w:gridCol w:w="4800"/>
        <w:gridCol w:w="802"/>
        <w:gridCol w:w="4678"/>
      </w:tblGrid>
      <w:tr w:rsidR="007337DD" w:rsidRPr="00E030B9" w14:paraId="687746F3" w14:textId="66EA322D" w:rsidTr="009F2C7E">
        <w:tc>
          <w:tcPr>
            <w:tcW w:w="11057" w:type="dxa"/>
            <w:gridSpan w:val="4"/>
          </w:tcPr>
          <w:p w14:paraId="610B4961" w14:textId="236F138E" w:rsidR="007337DD" w:rsidRPr="007337DD" w:rsidRDefault="007337DD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7337DD">
              <w:rPr>
                <w:rFonts w:cs="Arial"/>
                <w:b/>
                <w:szCs w:val="24"/>
              </w:rPr>
              <w:t>Inhaltsfeld IV: Pathophysiologie der Ernährung (Q)</w:t>
            </w:r>
          </w:p>
        </w:tc>
      </w:tr>
      <w:tr w:rsidR="009F2C7E" w:rsidRPr="007337DD" w14:paraId="45C05EEE" w14:textId="090AE8D5" w:rsidTr="009F2C7E">
        <w:tc>
          <w:tcPr>
            <w:tcW w:w="777" w:type="dxa"/>
          </w:tcPr>
          <w:p w14:paraId="42E9D568" w14:textId="77777777" w:rsidR="009F2C7E" w:rsidRPr="007337DD" w:rsidRDefault="009F2C7E" w:rsidP="009F2C7E">
            <w:pPr>
              <w:spacing w:before="60" w:after="6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Nr.</w:t>
            </w:r>
          </w:p>
        </w:tc>
        <w:tc>
          <w:tcPr>
            <w:tcW w:w="4800" w:type="dxa"/>
          </w:tcPr>
          <w:p w14:paraId="1FACDDA9" w14:textId="5809D6D9" w:rsidR="009F2C7E" w:rsidRPr="007337DD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  <w:tc>
          <w:tcPr>
            <w:tcW w:w="802" w:type="dxa"/>
          </w:tcPr>
          <w:p w14:paraId="0292D7A6" w14:textId="348A804B" w:rsidR="009F2C7E" w:rsidRPr="007337DD" w:rsidRDefault="009F2C7E" w:rsidP="009F2C7E">
            <w:pPr>
              <w:spacing w:before="60" w:after="60"/>
              <w:ind w:left="-57" w:right="-57"/>
              <w:jc w:val="left"/>
              <w:rPr>
                <w:rFonts w:cs="Arial"/>
                <w:b/>
                <w:szCs w:val="24"/>
              </w:rPr>
            </w:pPr>
            <w:r w:rsidRPr="007337DD">
              <w:rPr>
                <w:b/>
                <w:szCs w:val="24"/>
              </w:rPr>
              <w:t>Nr.</w:t>
            </w:r>
          </w:p>
        </w:tc>
        <w:tc>
          <w:tcPr>
            <w:tcW w:w="4678" w:type="dxa"/>
          </w:tcPr>
          <w:p w14:paraId="5667AB7C" w14:textId="0C841CC0" w:rsidR="009F2C7E" w:rsidRPr="007337DD" w:rsidRDefault="009F2C7E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</w:tr>
      <w:tr w:rsidR="009F2C7E" w:rsidRPr="007337DD" w14:paraId="510CFBB6" w14:textId="622A8605" w:rsidTr="009F2C7E">
        <w:tc>
          <w:tcPr>
            <w:tcW w:w="777" w:type="dxa"/>
          </w:tcPr>
          <w:p w14:paraId="0006B5B1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rFonts w:cs="Arial"/>
                <w:b/>
                <w:szCs w:val="24"/>
              </w:rPr>
              <w:t>IV</w:t>
            </w:r>
            <w:r w:rsidRPr="007337DD">
              <w:rPr>
                <w:b/>
                <w:szCs w:val="24"/>
              </w:rPr>
              <w:t>. 1</w:t>
            </w:r>
          </w:p>
        </w:tc>
        <w:tc>
          <w:tcPr>
            <w:tcW w:w="4800" w:type="dxa"/>
          </w:tcPr>
          <w:p w14:paraId="1C7509FD" w14:textId="77777777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unterscheiden zwischen Überernährung, Mangelernährung und Fehlernährung (UF2)</w:t>
            </w:r>
          </w:p>
        </w:tc>
        <w:tc>
          <w:tcPr>
            <w:tcW w:w="802" w:type="dxa"/>
          </w:tcPr>
          <w:p w14:paraId="146453B9" w14:textId="464D53B8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szCs w:val="24"/>
              </w:rPr>
            </w:pPr>
            <w:r w:rsidRPr="007337DD">
              <w:rPr>
                <w:b/>
                <w:szCs w:val="24"/>
              </w:rPr>
              <w:t>IV.11</w:t>
            </w:r>
          </w:p>
        </w:tc>
        <w:tc>
          <w:tcPr>
            <w:tcW w:w="4678" w:type="dxa"/>
          </w:tcPr>
          <w:p w14:paraId="67EC94E1" w14:textId="01F8FBA8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werten einfache Untersu</w:t>
            </w:r>
            <w:r>
              <w:rPr>
                <w:rFonts w:cs="Arial"/>
                <w:szCs w:val="24"/>
              </w:rPr>
              <w:t xml:space="preserve">chungsergebnisse zu </w:t>
            </w:r>
            <w:proofErr w:type="spellStart"/>
            <w:r>
              <w:rPr>
                <w:rFonts w:cs="Arial"/>
                <w:szCs w:val="24"/>
              </w:rPr>
              <w:t>ernährungs</w:t>
            </w:r>
            <w:r w:rsidRPr="007337DD">
              <w:rPr>
                <w:rFonts w:cs="Arial"/>
                <w:szCs w:val="24"/>
              </w:rPr>
              <w:t>mitbedingten</w:t>
            </w:r>
            <w:proofErr w:type="spellEnd"/>
            <w:r w:rsidRPr="007337DD">
              <w:rPr>
                <w:rFonts w:cs="Arial"/>
                <w:szCs w:val="24"/>
              </w:rPr>
              <w:t xml:space="preserve"> Erkrankungen aus (u.a. </w:t>
            </w:r>
            <w:proofErr w:type="spellStart"/>
            <w:r w:rsidRPr="007337DD">
              <w:rPr>
                <w:rFonts w:cs="Arial"/>
                <w:szCs w:val="24"/>
              </w:rPr>
              <w:t>Blutglucosespiegel</w:t>
            </w:r>
            <w:proofErr w:type="spellEnd"/>
            <w:r w:rsidRPr="007337DD">
              <w:rPr>
                <w:rFonts w:cs="Arial"/>
                <w:szCs w:val="24"/>
              </w:rPr>
              <w:t xml:space="preserve">) und diagnostizieren </w:t>
            </w:r>
            <w:proofErr w:type="spellStart"/>
            <w:r w:rsidRPr="007337DD">
              <w:rPr>
                <w:rFonts w:cs="Arial"/>
                <w:szCs w:val="24"/>
              </w:rPr>
              <w:t>kriterienorientiert</w:t>
            </w:r>
            <w:proofErr w:type="spellEnd"/>
            <w:r w:rsidRPr="007337DD">
              <w:rPr>
                <w:rFonts w:cs="Arial"/>
                <w:szCs w:val="24"/>
              </w:rPr>
              <w:t xml:space="preserve"> das Krankheitsbild (E5)</w:t>
            </w:r>
          </w:p>
        </w:tc>
      </w:tr>
      <w:tr w:rsidR="009F2C7E" w:rsidRPr="007337DD" w14:paraId="78B52C3E" w14:textId="7A18702C" w:rsidTr="009F2C7E">
        <w:tc>
          <w:tcPr>
            <w:tcW w:w="777" w:type="dxa"/>
          </w:tcPr>
          <w:p w14:paraId="7A21638F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2</w:t>
            </w:r>
          </w:p>
        </w:tc>
        <w:tc>
          <w:tcPr>
            <w:tcW w:w="4800" w:type="dxa"/>
          </w:tcPr>
          <w:p w14:paraId="6DF55B1C" w14:textId="77777777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unterscheiden zwischen Typ I- und Typ II-Diabetes und erläutern die Störungen im Stoffwechsel der Kohlenhydrate (UF1, UF2)</w:t>
            </w:r>
          </w:p>
        </w:tc>
        <w:tc>
          <w:tcPr>
            <w:tcW w:w="802" w:type="dxa"/>
          </w:tcPr>
          <w:p w14:paraId="16945288" w14:textId="57BF2348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IV.12</w:t>
            </w:r>
          </w:p>
        </w:tc>
        <w:tc>
          <w:tcPr>
            <w:tcW w:w="4678" w:type="dxa"/>
          </w:tcPr>
          <w:p w14:paraId="532ED956" w14:textId="6BEB7085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entwickeln und reflektieren ernährungs</w:t>
            </w:r>
            <w:r w:rsidR="00CD5AF5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bedingte Maßnahmen zur Gesundheits</w:t>
            </w:r>
            <w:r w:rsidR="00CD5AF5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aufklärung (u.a. in Familie und Schule) (E7)</w:t>
            </w:r>
          </w:p>
        </w:tc>
      </w:tr>
      <w:tr w:rsidR="009F2C7E" w:rsidRPr="007337DD" w14:paraId="7B23730E" w14:textId="47549F58" w:rsidTr="009F2C7E">
        <w:tc>
          <w:tcPr>
            <w:tcW w:w="777" w:type="dxa"/>
          </w:tcPr>
          <w:p w14:paraId="596F3617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3</w:t>
            </w:r>
          </w:p>
        </w:tc>
        <w:tc>
          <w:tcPr>
            <w:tcW w:w="4800" w:type="dxa"/>
          </w:tcPr>
          <w:p w14:paraId="1A7AFC08" w14:textId="77777777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erläutern die Fettsynthese bei positiver Energiebilanz (UF1)</w:t>
            </w:r>
          </w:p>
        </w:tc>
        <w:tc>
          <w:tcPr>
            <w:tcW w:w="802" w:type="dxa"/>
          </w:tcPr>
          <w:p w14:paraId="1471CA6A" w14:textId="13CDBB59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IV.13</w:t>
            </w:r>
          </w:p>
        </w:tc>
        <w:tc>
          <w:tcPr>
            <w:tcW w:w="4678" w:type="dxa"/>
          </w:tcPr>
          <w:p w14:paraId="6C6EF702" w14:textId="5698F2F6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dokumentieren unter Verwendung fach</w:t>
            </w:r>
            <w:r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üblicher Darstellungsformen selbstständig die Ergebnisse von Messungen und Berechnungen (u.a. zur Ermittlung des Ernährungszustandes) (K1)</w:t>
            </w:r>
          </w:p>
        </w:tc>
      </w:tr>
      <w:tr w:rsidR="009F2C7E" w:rsidRPr="007337DD" w14:paraId="6BB2B935" w14:textId="7806F1E6" w:rsidTr="009F2C7E">
        <w:tc>
          <w:tcPr>
            <w:tcW w:w="777" w:type="dxa"/>
          </w:tcPr>
          <w:p w14:paraId="1A01CA1D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4</w:t>
            </w:r>
          </w:p>
        </w:tc>
        <w:tc>
          <w:tcPr>
            <w:tcW w:w="4800" w:type="dxa"/>
          </w:tcPr>
          <w:p w14:paraId="51B36EE9" w14:textId="77777777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 xml:space="preserve">systematisieren </w:t>
            </w:r>
            <w:proofErr w:type="spellStart"/>
            <w:r w:rsidRPr="007337DD">
              <w:rPr>
                <w:rFonts w:cs="Arial"/>
                <w:szCs w:val="24"/>
              </w:rPr>
              <w:t>Lipoproteine</w:t>
            </w:r>
            <w:proofErr w:type="spellEnd"/>
            <w:r w:rsidRPr="007337DD">
              <w:rPr>
                <w:rFonts w:cs="Arial"/>
                <w:szCs w:val="24"/>
              </w:rPr>
              <w:t xml:space="preserve"> nach Zusammensetzung und Funktion im menschlichen Organismus (UF3)</w:t>
            </w:r>
          </w:p>
        </w:tc>
        <w:tc>
          <w:tcPr>
            <w:tcW w:w="802" w:type="dxa"/>
          </w:tcPr>
          <w:p w14:paraId="3D7AED3B" w14:textId="44ADB8F5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IV.14</w:t>
            </w:r>
          </w:p>
        </w:tc>
        <w:tc>
          <w:tcPr>
            <w:tcW w:w="4678" w:type="dxa"/>
          </w:tcPr>
          <w:p w14:paraId="2FEBC0D5" w14:textId="5C03617D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diskutieren Therapiemaßnahmen im Hin</w:t>
            </w:r>
            <w:r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blick auf ihre Ei</w:t>
            </w:r>
            <w:r>
              <w:rPr>
                <w:rFonts w:cs="Arial"/>
                <w:szCs w:val="24"/>
              </w:rPr>
              <w:t>gnung zur Behandlung er-</w:t>
            </w:r>
            <w:proofErr w:type="spellStart"/>
            <w:r>
              <w:rPr>
                <w:rFonts w:cs="Arial"/>
                <w:szCs w:val="24"/>
              </w:rPr>
              <w:t>nährungs</w:t>
            </w:r>
            <w:r w:rsidRPr="007337DD">
              <w:rPr>
                <w:rFonts w:cs="Arial"/>
                <w:szCs w:val="24"/>
              </w:rPr>
              <w:t>mitbedingter</w:t>
            </w:r>
            <w:proofErr w:type="spellEnd"/>
            <w:r w:rsidRPr="007337DD">
              <w:rPr>
                <w:rFonts w:cs="Arial"/>
                <w:szCs w:val="24"/>
              </w:rPr>
              <w:t xml:space="preserve"> Erkrankungen (K4)</w:t>
            </w:r>
          </w:p>
        </w:tc>
      </w:tr>
      <w:tr w:rsidR="009F2C7E" w:rsidRPr="007337DD" w14:paraId="5E814C72" w14:textId="02518167" w:rsidTr="009F2C7E">
        <w:tc>
          <w:tcPr>
            <w:tcW w:w="777" w:type="dxa"/>
          </w:tcPr>
          <w:p w14:paraId="42781AEB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5</w:t>
            </w:r>
          </w:p>
        </w:tc>
        <w:tc>
          <w:tcPr>
            <w:tcW w:w="4800" w:type="dxa"/>
          </w:tcPr>
          <w:p w14:paraId="14AD7C2B" w14:textId="42488D6F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 xml:space="preserve">erläutern die Ätiologie und Symptome von verschiedenen </w:t>
            </w:r>
            <w:proofErr w:type="spellStart"/>
            <w:r w:rsidRPr="007337DD">
              <w:rPr>
                <w:rFonts w:cs="Arial"/>
                <w:szCs w:val="24"/>
              </w:rPr>
              <w:t>ernährungsmitbedingten</w:t>
            </w:r>
            <w:proofErr w:type="spellEnd"/>
            <w:r w:rsidRPr="007337DD">
              <w:rPr>
                <w:rFonts w:cs="Arial"/>
                <w:szCs w:val="24"/>
              </w:rPr>
              <w:t xml:space="preserve"> Erkrankungen und erklären die spezifischen Störungen im Energie- und Stoffwechsel (UF1, UF4)</w:t>
            </w:r>
          </w:p>
        </w:tc>
        <w:tc>
          <w:tcPr>
            <w:tcW w:w="802" w:type="dxa"/>
          </w:tcPr>
          <w:p w14:paraId="0BDDED9D" w14:textId="4EE85FD4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IV.15</w:t>
            </w:r>
          </w:p>
        </w:tc>
        <w:tc>
          <w:tcPr>
            <w:tcW w:w="4678" w:type="dxa"/>
          </w:tcPr>
          <w:p w14:paraId="5BF1656B" w14:textId="2568C51A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 xml:space="preserve">interpretieren einfache Schemata zu </w:t>
            </w:r>
            <w:proofErr w:type="spellStart"/>
            <w:r w:rsidRPr="007337DD">
              <w:rPr>
                <w:rFonts w:cs="Arial"/>
                <w:szCs w:val="24"/>
              </w:rPr>
              <w:t>ge</w:t>
            </w:r>
            <w:proofErr w:type="spellEnd"/>
            <w:r w:rsidR="00CD5AF5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störten Stoffwechselabläufen</w:t>
            </w:r>
            <w:r>
              <w:rPr>
                <w:rFonts w:cs="Arial"/>
                <w:szCs w:val="24"/>
              </w:rPr>
              <w:t xml:space="preserve"> und begrün</w:t>
            </w:r>
            <w:r w:rsidR="00CD5AF5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den auf dieser Grund</w:t>
            </w:r>
            <w:r w:rsidRPr="007337DD">
              <w:rPr>
                <w:rFonts w:cs="Arial"/>
                <w:szCs w:val="24"/>
              </w:rPr>
              <w:t>lage Ätiologie und Symptomatik eines Krankheitsbildes (K4)</w:t>
            </w:r>
          </w:p>
        </w:tc>
      </w:tr>
      <w:tr w:rsidR="009F2C7E" w:rsidRPr="007337DD" w14:paraId="74781318" w14:textId="56CCB258" w:rsidTr="009F2C7E">
        <w:tc>
          <w:tcPr>
            <w:tcW w:w="777" w:type="dxa"/>
          </w:tcPr>
          <w:p w14:paraId="215E8E8D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6</w:t>
            </w:r>
          </w:p>
        </w:tc>
        <w:tc>
          <w:tcPr>
            <w:tcW w:w="4800" w:type="dxa"/>
          </w:tcPr>
          <w:p w14:paraId="438F8898" w14:textId="77777777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erläutern das metabolische Syndrom im funktionellen Zusammenhang (UF1)</w:t>
            </w:r>
          </w:p>
        </w:tc>
        <w:tc>
          <w:tcPr>
            <w:tcW w:w="802" w:type="dxa"/>
          </w:tcPr>
          <w:p w14:paraId="05E2CDE3" w14:textId="7C3BEDF0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IV.16</w:t>
            </w:r>
          </w:p>
        </w:tc>
        <w:tc>
          <w:tcPr>
            <w:tcW w:w="4678" w:type="dxa"/>
          </w:tcPr>
          <w:p w14:paraId="690130DD" w14:textId="2373D79F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 xml:space="preserve">recherchieren selbstständig in </w:t>
            </w:r>
            <w:proofErr w:type="spellStart"/>
            <w:r w:rsidRPr="007337DD">
              <w:rPr>
                <w:rFonts w:cs="Arial"/>
                <w:szCs w:val="24"/>
              </w:rPr>
              <w:t>ausgewähl</w:t>
            </w:r>
            <w:r w:rsidR="00CD5AF5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ter</w:t>
            </w:r>
            <w:proofErr w:type="spellEnd"/>
            <w:r w:rsidRPr="007337DD">
              <w:rPr>
                <w:rFonts w:cs="Arial"/>
                <w:szCs w:val="24"/>
              </w:rPr>
              <w:t xml:space="preserve"> Fachliteratur (u.a. zu </w:t>
            </w:r>
            <w:proofErr w:type="spellStart"/>
            <w:r w:rsidRPr="007337DD">
              <w:rPr>
                <w:rFonts w:cs="Arial"/>
                <w:szCs w:val="24"/>
              </w:rPr>
              <w:t>Lebensmittelun</w:t>
            </w:r>
            <w:r w:rsidR="00CD5AF5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verträglichkeiten</w:t>
            </w:r>
            <w:proofErr w:type="spellEnd"/>
            <w:r w:rsidRPr="007337DD">
              <w:rPr>
                <w:rFonts w:cs="Arial"/>
                <w:szCs w:val="24"/>
              </w:rPr>
              <w:t xml:space="preserve">), nutzen diese gezielt </w:t>
            </w:r>
            <w:r>
              <w:rPr>
                <w:rFonts w:cs="Arial"/>
                <w:szCs w:val="24"/>
              </w:rPr>
              <w:t>zu Pro</w:t>
            </w:r>
            <w:r w:rsidRPr="007337DD">
              <w:rPr>
                <w:rFonts w:cs="Arial"/>
                <w:szCs w:val="24"/>
              </w:rPr>
              <w:t xml:space="preserve">blemlösungen und präsentieren die Informationen fach- und </w:t>
            </w:r>
            <w:proofErr w:type="spellStart"/>
            <w:r w:rsidRPr="007337DD">
              <w:rPr>
                <w:rFonts w:cs="Arial"/>
                <w:szCs w:val="24"/>
              </w:rPr>
              <w:t>adressatenge</w:t>
            </w:r>
            <w:proofErr w:type="spellEnd"/>
            <w:r w:rsidR="00CD5AF5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recht (K2, K3, K4)</w:t>
            </w:r>
          </w:p>
        </w:tc>
      </w:tr>
      <w:tr w:rsidR="009F2C7E" w:rsidRPr="007337DD" w14:paraId="48E81C10" w14:textId="6DBC7F59" w:rsidTr="009F2C7E">
        <w:tc>
          <w:tcPr>
            <w:tcW w:w="777" w:type="dxa"/>
          </w:tcPr>
          <w:p w14:paraId="3D8184CB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7</w:t>
            </w:r>
          </w:p>
        </w:tc>
        <w:tc>
          <w:tcPr>
            <w:tcW w:w="4800" w:type="dxa"/>
          </w:tcPr>
          <w:p w14:paraId="2CD02A00" w14:textId="0B2702D0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 xml:space="preserve">erläutern die Bedeutung der </w:t>
            </w:r>
            <w:proofErr w:type="spellStart"/>
            <w:r w:rsidRPr="007337DD">
              <w:rPr>
                <w:rFonts w:cs="Arial"/>
                <w:szCs w:val="24"/>
              </w:rPr>
              <w:t>Gluconeogenese</w:t>
            </w:r>
            <w:proofErr w:type="spellEnd"/>
            <w:r w:rsidRPr="007337DD">
              <w:rPr>
                <w:rFonts w:cs="Arial"/>
                <w:szCs w:val="24"/>
              </w:rPr>
              <w:t xml:space="preserve"> und der </w:t>
            </w:r>
            <w:proofErr w:type="spellStart"/>
            <w:r w:rsidRPr="007337DD">
              <w:rPr>
                <w:rFonts w:cs="Arial"/>
                <w:szCs w:val="24"/>
              </w:rPr>
              <w:t>Ketogenese</w:t>
            </w:r>
            <w:proofErr w:type="spellEnd"/>
            <w:r w:rsidRPr="007337DD">
              <w:rPr>
                <w:rFonts w:cs="Arial"/>
                <w:szCs w:val="24"/>
              </w:rPr>
              <w:t xml:space="preserve"> (u.a. bei Nahrungskarenz) (UF1)</w:t>
            </w:r>
          </w:p>
        </w:tc>
        <w:tc>
          <w:tcPr>
            <w:tcW w:w="802" w:type="dxa"/>
          </w:tcPr>
          <w:p w14:paraId="736E7D34" w14:textId="58FDC775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IV.17</w:t>
            </w:r>
          </w:p>
        </w:tc>
        <w:tc>
          <w:tcPr>
            <w:tcW w:w="4678" w:type="dxa"/>
          </w:tcPr>
          <w:p w14:paraId="70C6281A" w14:textId="1AD9C240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argumentieren kritisch-konstruktiv bei der Simulation einer Ernährungsberatungssituation (K4)</w:t>
            </w:r>
          </w:p>
        </w:tc>
      </w:tr>
      <w:tr w:rsidR="009F2C7E" w:rsidRPr="007337DD" w14:paraId="288FAF69" w14:textId="7CFD6327" w:rsidTr="009F2C7E">
        <w:tc>
          <w:tcPr>
            <w:tcW w:w="777" w:type="dxa"/>
          </w:tcPr>
          <w:p w14:paraId="0B897865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8</w:t>
            </w:r>
          </w:p>
        </w:tc>
        <w:tc>
          <w:tcPr>
            <w:tcW w:w="4800" w:type="dxa"/>
          </w:tcPr>
          <w:p w14:paraId="33DC615B" w14:textId="57732248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entwickeln und erklären Regel</w:t>
            </w:r>
            <w:r w:rsidRPr="007337DD">
              <w:rPr>
                <w:rFonts w:cs="Arial"/>
                <w:szCs w:val="24"/>
              </w:rPr>
              <w:t>kreis</w:t>
            </w:r>
            <w:r>
              <w:rPr>
                <w:rFonts w:cs="Arial"/>
                <w:szCs w:val="24"/>
              </w:rPr>
              <w:t>schema</w:t>
            </w:r>
            <w:r w:rsidR="00D542B8">
              <w:rPr>
                <w:rFonts w:cs="Arial"/>
                <w:szCs w:val="24"/>
              </w:rPr>
              <w:t>-</w:t>
            </w:r>
            <w:proofErr w:type="spellStart"/>
            <w:r>
              <w:rPr>
                <w:rFonts w:cs="Arial"/>
                <w:szCs w:val="24"/>
              </w:rPr>
              <w:t>ta</w:t>
            </w:r>
            <w:proofErr w:type="spellEnd"/>
            <w:r>
              <w:rPr>
                <w:rFonts w:cs="Arial"/>
                <w:szCs w:val="24"/>
              </w:rPr>
              <w:t xml:space="preserve"> (u.a. zur Blutzucker</w:t>
            </w:r>
            <w:r w:rsidRPr="007337DD">
              <w:rPr>
                <w:rFonts w:cs="Arial"/>
                <w:szCs w:val="24"/>
              </w:rPr>
              <w:t>regu</w:t>
            </w:r>
            <w:r>
              <w:rPr>
                <w:rFonts w:cs="Arial"/>
                <w:szCs w:val="24"/>
              </w:rPr>
              <w:t>lation) für die Aufrecht</w:t>
            </w:r>
            <w:r w:rsidRPr="007337DD">
              <w:rPr>
                <w:rFonts w:cs="Arial"/>
                <w:szCs w:val="24"/>
              </w:rPr>
              <w:t>erhaltung der Homöostase zur Gewährleistung lebenswichtiger Funktionen des Körpers (E6)</w:t>
            </w:r>
          </w:p>
        </w:tc>
        <w:tc>
          <w:tcPr>
            <w:tcW w:w="802" w:type="dxa"/>
          </w:tcPr>
          <w:p w14:paraId="1FD1DD29" w14:textId="2EFDD68F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IV.18</w:t>
            </w:r>
          </w:p>
        </w:tc>
        <w:tc>
          <w:tcPr>
            <w:tcW w:w="4678" w:type="dxa"/>
          </w:tcPr>
          <w:p w14:paraId="511E2976" w14:textId="2E23B6C5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 xml:space="preserve">bewerten </w:t>
            </w:r>
            <w:proofErr w:type="spellStart"/>
            <w:r w:rsidRPr="007337DD">
              <w:rPr>
                <w:rFonts w:cs="Arial"/>
                <w:szCs w:val="24"/>
              </w:rPr>
              <w:t>kriterienorientiert</w:t>
            </w:r>
            <w:proofErr w:type="spellEnd"/>
            <w:r w:rsidRPr="007337DD">
              <w:rPr>
                <w:rFonts w:cs="Arial"/>
                <w:szCs w:val="24"/>
              </w:rPr>
              <w:t xml:space="preserve"> die Notwendig</w:t>
            </w:r>
            <w:r w:rsidR="00CD5AF5">
              <w:rPr>
                <w:rFonts w:cs="Arial"/>
                <w:szCs w:val="24"/>
              </w:rPr>
              <w:t>-</w:t>
            </w:r>
            <w:proofErr w:type="spellStart"/>
            <w:r w:rsidRPr="007337DD">
              <w:rPr>
                <w:rFonts w:cs="Arial"/>
                <w:szCs w:val="24"/>
              </w:rPr>
              <w:t>keit</w:t>
            </w:r>
            <w:proofErr w:type="spellEnd"/>
            <w:r w:rsidRPr="007337DD">
              <w:rPr>
                <w:rFonts w:cs="Arial"/>
                <w:szCs w:val="24"/>
              </w:rPr>
              <w:t xml:space="preserve"> von diätetischen Lebensmitteln (B1)</w:t>
            </w:r>
          </w:p>
        </w:tc>
      </w:tr>
      <w:tr w:rsidR="009F2C7E" w:rsidRPr="007337DD" w14:paraId="1D0DB0B5" w14:textId="0D297D38" w:rsidTr="009F2C7E">
        <w:tc>
          <w:tcPr>
            <w:tcW w:w="777" w:type="dxa"/>
          </w:tcPr>
          <w:p w14:paraId="2B491055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 9</w:t>
            </w:r>
          </w:p>
        </w:tc>
        <w:tc>
          <w:tcPr>
            <w:tcW w:w="4800" w:type="dxa"/>
          </w:tcPr>
          <w:p w14:paraId="2D0467C5" w14:textId="7695138F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führen spezifische Symptome ernährungs</w:t>
            </w:r>
            <w:r w:rsidR="00D542B8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mitbedingter Erkrankungen auf die entsprechenden stoffwechselphysio</w:t>
            </w:r>
            <w:r w:rsidR="00D542B8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logischen Prozesse zurück und formulieren therapieorientierte Fragestellungen (E1, E5)</w:t>
            </w:r>
          </w:p>
        </w:tc>
        <w:tc>
          <w:tcPr>
            <w:tcW w:w="802" w:type="dxa"/>
          </w:tcPr>
          <w:p w14:paraId="0BB58FA9" w14:textId="038DC6E5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IV.19</w:t>
            </w:r>
          </w:p>
        </w:tc>
        <w:tc>
          <w:tcPr>
            <w:tcW w:w="4678" w:type="dxa"/>
          </w:tcPr>
          <w:p w14:paraId="4F54F05B" w14:textId="501C4CC3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bewerten die Meinungen in den Medien zur Frage der Prävention von ernährungs</w:t>
            </w:r>
            <w:r w:rsidR="00D542B8">
              <w:rPr>
                <w:rFonts w:cs="Arial"/>
                <w:szCs w:val="24"/>
              </w:rPr>
              <w:t>-</w:t>
            </w:r>
            <w:r w:rsidRPr="007337DD">
              <w:rPr>
                <w:rFonts w:cs="Arial"/>
                <w:szCs w:val="24"/>
              </w:rPr>
              <w:t>mitbedingten Krankheiten und beziehen eine fachlich abgesicherte Position (B1)</w:t>
            </w:r>
          </w:p>
        </w:tc>
      </w:tr>
      <w:tr w:rsidR="009F2C7E" w:rsidRPr="007337DD" w14:paraId="760BFA14" w14:textId="0895A21D" w:rsidTr="009F2C7E">
        <w:tc>
          <w:tcPr>
            <w:tcW w:w="777" w:type="dxa"/>
          </w:tcPr>
          <w:p w14:paraId="3140D5D0" w14:textId="77777777" w:rsidR="009F2C7E" w:rsidRPr="007337DD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IV.10</w:t>
            </w:r>
          </w:p>
        </w:tc>
        <w:tc>
          <w:tcPr>
            <w:tcW w:w="4800" w:type="dxa"/>
          </w:tcPr>
          <w:p w14:paraId="1F576009" w14:textId="761AD41E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führen anthropometrische Messungen und Berechnungen zur Ermittlung des Ernährungszustandes durch, halten die Ergebnisse fest und werten sie aus (E2, E4, E5)</w:t>
            </w:r>
          </w:p>
        </w:tc>
        <w:tc>
          <w:tcPr>
            <w:tcW w:w="802" w:type="dxa"/>
          </w:tcPr>
          <w:p w14:paraId="6F78D7D9" w14:textId="2570FA5F" w:rsidR="009F2C7E" w:rsidRPr="00052D7C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7337DD">
              <w:rPr>
                <w:b/>
                <w:szCs w:val="24"/>
              </w:rPr>
              <w:t>IV.20</w:t>
            </w:r>
          </w:p>
        </w:tc>
        <w:tc>
          <w:tcPr>
            <w:tcW w:w="4678" w:type="dxa"/>
          </w:tcPr>
          <w:p w14:paraId="09FD8B35" w14:textId="7A41E101" w:rsidR="009F2C7E" w:rsidRPr="007337DD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7337DD">
              <w:rPr>
                <w:rFonts w:cs="Arial"/>
                <w:szCs w:val="24"/>
              </w:rPr>
              <w:t>bewerten Essverhalten von Kindern und Jugendlichen sowie Männern und Frauen vor dem Hintergrund ethisch-sozialer Maßstäbe, sozialer Kontexte und der Suchtproblematik unter Bezug auf Werte und Normen sowie die Verantwortung dem eigenen Körper gegenüber (B1, B2, B3)</w:t>
            </w:r>
          </w:p>
        </w:tc>
      </w:tr>
    </w:tbl>
    <w:p w14:paraId="4C92AB47" w14:textId="77777777" w:rsidR="00425828" w:rsidRDefault="00425828" w:rsidP="009F2C7E">
      <w:pPr>
        <w:ind w:left="-57" w:right="-57"/>
        <w:rPr>
          <w:sz w:val="28"/>
          <w:szCs w:val="28"/>
        </w:rPr>
        <w:sectPr w:rsidR="00425828" w:rsidSect="00607B7E">
          <w:pgSz w:w="11900" w:h="16840"/>
          <w:pgMar w:top="1134" w:right="1418" w:bottom="709" w:left="1134" w:header="709" w:footer="1985" w:gutter="0"/>
          <w:cols w:space="708"/>
          <w:titlePg/>
        </w:sectPr>
      </w:pPr>
    </w:p>
    <w:p w14:paraId="2FC2B095" w14:textId="77777777" w:rsidR="00E030B9" w:rsidRPr="007D4394" w:rsidRDefault="00E030B9" w:rsidP="009F2C7E">
      <w:pPr>
        <w:ind w:left="-57" w:right="-57"/>
        <w:rPr>
          <w:sz w:val="28"/>
          <w:szCs w:val="28"/>
        </w:rPr>
      </w:pPr>
    </w:p>
    <w:tbl>
      <w:tblPr>
        <w:tblStyle w:val="Tabellenraster"/>
        <w:tblW w:w="10774" w:type="dxa"/>
        <w:tblInd w:w="-318" w:type="dxa"/>
        <w:tblLook w:val="04A0" w:firstRow="1" w:lastRow="0" w:firstColumn="1" w:lastColumn="0" w:noHBand="0" w:noVBand="1"/>
      </w:tblPr>
      <w:tblGrid>
        <w:gridCol w:w="709"/>
        <w:gridCol w:w="4677"/>
        <w:gridCol w:w="710"/>
        <w:gridCol w:w="4678"/>
      </w:tblGrid>
      <w:tr w:rsidR="00E030B9" w:rsidRPr="00E030B9" w14:paraId="3D0EC633" w14:textId="2763C8FC" w:rsidTr="009F2C7E">
        <w:tc>
          <w:tcPr>
            <w:tcW w:w="10774" w:type="dxa"/>
            <w:gridSpan w:val="4"/>
          </w:tcPr>
          <w:p w14:paraId="4ABC52F6" w14:textId="4703ED39" w:rsidR="00E030B9" w:rsidRPr="00E030B9" w:rsidRDefault="00E030B9" w:rsidP="009F2C7E">
            <w:pPr>
              <w:spacing w:before="60" w:after="6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E030B9">
              <w:rPr>
                <w:rFonts w:cs="Arial"/>
                <w:b/>
                <w:szCs w:val="24"/>
              </w:rPr>
              <w:t>Inhaltsfeld V: Ernährungsökologie (Q)</w:t>
            </w:r>
          </w:p>
        </w:tc>
      </w:tr>
      <w:tr w:rsidR="009F2C7E" w:rsidRPr="00E030B9" w14:paraId="5625BACC" w14:textId="35C791EB" w:rsidTr="009F2C7E">
        <w:tc>
          <w:tcPr>
            <w:tcW w:w="709" w:type="dxa"/>
          </w:tcPr>
          <w:p w14:paraId="7AD66997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Nr.</w:t>
            </w:r>
          </w:p>
        </w:tc>
        <w:tc>
          <w:tcPr>
            <w:tcW w:w="4677" w:type="dxa"/>
          </w:tcPr>
          <w:p w14:paraId="0E9DC89C" w14:textId="65506399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  <w:tc>
          <w:tcPr>
            <w:tcW w:w="710" w:type="dxa"/>
          </w:tcPr>
          <w:p w14:paraId="4435A316" w14:textId="0829F514" w:rsidR="009F2C7E" w:rsidRPr="00E030B9" w:rsidRDefault="009F2C7E" w:rsidP="009F2C7E">
            <w:pPr>
              <w:spacing w:before="120" w:after="120"/>
              <w:ind w:left="-57" w:right="-57"/>
              <w:jc w:val="left"/>
              <w:rPr>
                <w:rFonts w:cs="Arial"/>
                <w:b/>
                <w:szCs w:val="24"/>
              </w:rPr>
            </w:pPr>
            <w:r w:rsidRPr="00E030B9">
              <w:rPr>
                <w:b/>
                <w:szCs w:val="24"/>
              </w:rPr>
              <w:t>Nr.</w:t>
            </w:r>
          </w:p>
        </w:tc>
        <w:tc>
          <w:tcPr>
            <w:tcW w:w="4678" w:type="dxa"/>
          </w:tcPr>
          <w:p w14:paraId="58BE5E1B" w14:textId="772BC5CE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b/>
                <w:szCs w:val="24"/>
              </w:rPr>
            </w:pPr>
            <w:r w:rsidRPr="0012700F">
              <w:rPr>
                <w:rFonts w:cs="Arial"/>
                <w:b/>
                <w:szCs w:val="24"/>
              </w:rPr>
              <w:t>Konkretisierte Kompetenz</w:t>
            </w:r>
            <w:r>
              <w:rPr>
                <w:rFonts w:cs="Arial"/>
                <w:b/>
                <w:szCs w:val="24"/>
              </w:rPr>
              <w:t>erwartungen</w:t>
            </w:r>
          </w:p>
        </w:tc>
      </w:tr>
      <w:tr w:rsidR="009F2C7E" w:rsidRPr="00E030B9" w14:paraId="1FDBF4B2" w14:textId="1A2D06DB" w:rsidTr="009F2C7E">
        <w:tc>
          <w:tcPr>
            <w:tcW w:w="709" w:type="dxa"/>
          </w:tcPr>
          <w:p w14:paraId="007C11CF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1</w:t>
            </w:r>
          </w:p>
        </w:tc>
        <w:tc>
          <w:tcPr>
            <w:tcW w:w="4677" w:type="dxa"/>
          </w:tcPr>
          <w:p w14:paraId="32C3E2AE" w14:textId="3E647392" w:rsidR="009F2C7E" w:rsidRPr="00E030B9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u</w:t>
            </w:r>
            <w:r w:rsidR="00D542B8">
              <w:rPr>
                <w:rFonts w:cs="Arial"/>
                <w:szCs w:val="24"/>
              </w:rPr>
              <w:t>nterscheiden bio- und gentechno</w:t>
            </w:r>
            <w:r w:rsidRPr="00E030B9">
              <w:rPr>
                <w:rFonts w:cs="Arial"/>
                <w:szCs w:val="24"/>
              </w:rPr>
              <w:t>logische Verfahren in der Lebensmittelproduktion (UF1)</w:t>
            </w:r>
          </w:p>
        </w:tc>
        <w:tc>
          <w:tcPr>
            <w:tcW w:w="710" w:type="dxa"/>
          </w:tcPr>
          <w:p w14:paraId="4C6CB941" w14:textId="1AD549C2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szCs w:val="24"/>
              </w:rPr>
            </w:pPr>
            <w:r w:rsidRPr="00E030B9">
              <w:rPr>
                <w:b/>
                <w:szCs w:val="24"/>
              </w:rPr>
              <w:t>V. 7</w:t>
            </w:r>
          </w:p>
        </w:tc>
        <w:tc>
          <w:tcPr>
            <w:tcW w:w="4678" w:type="dxa"/>
          </w:tcPr>
          <w:p w14:paraId="020BC736" w14:textId="7875B824" w:rsidR="009F2C7E" w:rsidRPr="00E030B9" w:rsidRDefault="009F2C7E" w:rsidP="009F2C7E">
            <w:pPr>
              <w:spacing w:before="20" w:after="20"/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planen und erstellen Mah</w:t>
            </w:r>
            <w:r>
              <w:rPr>
                <w:rFonts w:cs="Arial"/>
                <w:szCs w:val="24"/>
              </w:rPr>
              <w:t>lzeiten unter Angabe ernährungs</w:t>
            </w:r>
            <w:r w:rsidRPr="00E030B9">
              <w:rPr>
                <w:rFonts w:cs="Arial"/>
                <w:szCs w:val="24"/>
              </w:rPr>
              <w:t>wissenschaftlicher Kriterien (u.a. Ernährungsform, ökologischer Wert, Gesundheitswert, psychologischer Wert) (E4)</w:t>
            </w:r>
          </w:p>
        </w:tc>
      </w:tr>
      <w:tr w:rsidR="009F2C7E" w:rsidRPr="00E030B9" w14:paraId="3DE2435B" w14:textId="18E618DE" w:rsidTr="009F2C7E">
        <w:tc>
          <w:tcPr>
            <w:tcW w:w="709" w:type="dxa"/>
          </w:tcPr>
          <w:p w14:paraId="54471A94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2</w:t>
            </w:r>
          </w:p>
        </w:tc>
        <w:tc>
          <w:tcPr>
            <w:tcW w:w="4677" w:type="dxa"/>
          </w:tcPr>
          <w:p w14:paraId="46D39404" w14:textId="0FC8F673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systematisieren Merkmale einer „nachhaltigen Ernährung“ nach den Dimensionen Gesundheit, Umwelt, Gesellschaft und Wirtschaft un</w:t>
            </w:r>
            <w:r>
              <w:rPr>
                <w:rFonts w:cs="Arial"/>
                <w:szCs w:val="24"/>
              </w:rPr>
              <w:t xml:space="preserve">d ordnen Lebensmittel </w:t>
            </w:r>
            <w:proofErr w:type="spellStart"/>
            <w:r>
              <w:rPr>
                <w:rFonts w:cs="Arial"/>
                <w:szCs w:val="24"/>
              </w:rPr>
              <w:t>kriterien</w:t>
            </w:r>
            <w:r w:rsidRPr="00E030B9">
              <w:rPr>
                <w:rFonts w:cs="Arial"/>
                <w:szCs w:val="24"/>
              </w:rPr>
              <w:t>orientiert</w:t>
            </w:r>
            <w:proofErr w:type="spellEnd"/>
            <w:r w:rsidRPr="00E030B9">
              <w:rPr>
                <w:rFonts w:cs="Arial"/>
                <w:szCs w:val="24"/>
              </w:rPr>
              <w:t xml:space="preserve"> den verschiedenen Dimensionen zu (UF3)</w:t>
            </w:r>
          </w:p>
        </w:tc>
        <w:tc>
          <w:tcPr>
            <w:tcW w:w="710" w:type="dxa"/>
          </w:tcPr>
          <w:p w14:paraId="4E54C39B" w14:textId="2D5E9426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8</w:t>
            </w:r>
          </w:p>
        </w:tc>
        <w:tc>
          <w:tcPr>
            <w:tcW w:w="4678" w:type="dxa"/>
          </w:tcPr>
          <w:p w14:paraId="24E102AD" w14:textId="64624D2D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recherch</w:t>
            </w:r>
            <w:r>
              <w:rPr>
                <w:rFonts w:cs="Arial"/>
                <w:szCs w:val="24"/>
              </w:rPr>
              <w:t>ieren das aktuelle Lebens</w:t>
            </w:r>
            <w:r w:rsidRPr="00E030B9">
              <w:rPr>
                <w:rFonts w:cs="Arial"/>
                <w:szCs w:val="24"/>
              </w:rPr>
              <w:t>mittel</w:t>
            </w:r>
            <w:r w:rsidR="00D542B8">
              <w:rPr>
                <w:rFonts w:cs="Arial"/>
                <w:szCs w:val="24"/>
              </w:rPr>
              <w:t>-</w:t>
            </w:r>
            <w:r w:rsidRPr="00E030B9">
              <w:rPr>
                <w:rFonts w:cs="Arial"/>
                <w:szCs w:val="24"/>
              </w:rPr>
              <w:t>angebot unter Aspekten der Nachhaltigkeit (u.a. regionale und saisonale Verfügbar</w:t>
            </w:r>
            <w:r w:rsidR="00D542B8">
              <w:rPr>
                <w:rFonts w:cs="Arial"/>
                <w:szCs w:val="24"/>
              </w:rPr>
              <w:t>-</w:t>
            </w:r>
            <w:proofErr w:type="spellStart"/>
            <w:r w:rsidRPr="00E030B9">
              <w:rPr>
                <w:rFonts w:cs="Arial"/>
                <w:szCs w:val="24"/>
              </w:rPr>
              <w:t>keit</w:t>
            </w:r>
            <w:proofErr w:type="spellEnd"/>
            <w:r w:rsidRPr="00E030B9">
              <w:rPr>
                <w:rFonts w:cs="Arial"/>
                <w:szCs w:val="24"/>
              </w:rPr>
              <w:t xml:space="preserve">, Frische, Umweltverträglichkeit der Verpackung, Fairer Handel) und </w:t>
            </w:r>
            <w:proofErr w:type="spellStart"/>
            <w:r w:rsidRPr="00E030B9">
              <w:rPr>
                <w:rFonts w:cs="Arial"/>
                <w:szCs w:val="24"/>
              </w:rPr>
              <w:t>präsen</w:t>
            </w:r>
            <w:proofErr w:type="spellEnd"/>
            <w:r w:rsidR="00D542B8">
              <w:rPr>
                <w:rFonts w:cs="Arial"/>
                <w:szCs w:val="24"/>
              </w:rPr>
              <w:t>-</w:t>
            </w:r>
            <w:r w:rsidRPr="00E030B9">
              <w:rPr>
                <w:rFonts w:cs="Arial"/>
                <w:szCs w:val="24"/>
              </w:rPr>
              <w:t>tieren ihre Ergebnisse adressatengerecht (K2, K3)</w:t>
            </w:r>
          </w:p>
        </w:tc>
      </w:tr>
      <w:tr w:rsidR="009F2C7E" w:rsidRPr="00E030B9" w14:paraId="709A58B5" w14:textId="673079DE" w:rsidTr="009F2C7E">
        <w:tc>
          <w:tcPr>
            <w:tcW w:w="709" w:type="dxa"/>
          </w:tcPr>
          <w:p w14:paraId="2C3ED519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3</w:t>
            </w:r>
          </w:p>
        </w:tc>
        <w:tc>
          <w:tcPr>
            <w:tcW w:w="4677" w:type="dxa"/>
          </w:tcPr>
          <w:p w14:paraId="0181EE29" w14:textId="33DD4CAD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beschreiben Prinzipien und Arbeitsweisen des Fairen Handels un</w:t>
            </w:r>
            <w:r>
              <w:rPr>
                <w:rFonts w:cs="Arial"/>
                <w:szCs w:val="24"/>
              </w:rPr>
              <w:t>d erläutern die damit verbunden</w:t>
            </w:r>
            <w:r w:rsidRPr="00E030B9">
              <w:rPr>
                <w:rFonts w:cs="Arial"/>
                <w:szCs w:val="24"/>
              </w:rPr>
              <w:t>en Intentionen zur Verbesserung der Weltwirtschafts</w:t>
            </w:r>
            <w:r w:rsidR="00D542B8">
              <w:rPr>
                <w:rFonts w:cs="Arial"/>
                <w:szCs w:val="24"/>
              </w:rPr>
              <w:t>-</w:t>
            </w:r>
            <w:r w:rsidRPr="00E030B9">
              <w:rPr>
                <w:rFonts w:cs="Arial"/>
                <w:szCs w:val="24"/>
              </w:rPr>
              <w:t>bedingungen bzw. zur Beseitigung der Armut in Entwicklungsländern (UF1, UF4)</w:t>
            </w:r>
          </w:p>
        </w:tc>
        <w:tc>
          <w:tcPr>
            <w:tcW w:w="710" w:type="dxa"/>
          </w:tcPr>
          <w:p w14:paraId="49C01D61" w14:textId="61308CD0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9</w:t>
            </w:r>
          </w:p>
        </w:tc>
        <w:tc>
          <w:tcPr>
            <w:tcW w:w="4678" w:type="dxa"/>
          </w:tcPr>
          <w:p w14:paraId="6A33E302" w14:textId="773320CE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 xml:space="preserve">vergleichen Möglichkeiten und Grenzen </w:t>
            </w:r>
            <w:r>
              <w:rPr>
                <w:rFonts w:cs="Arial"/>
                <w:szCs w:val="24"/>
              </w:rPr>
              <w:t>ausgewählter landwirt</w:t>
            </w:r>
            <w:r w:rsidRPr="00E030B9">
              <w:rPr>
                <w:rFonts w:cs="Arial"/>
                <w:szCs w:val="24"/>
              </w:rPr>
              <w:t>schaftlicher Anbau</w:t>
            </w:r>
            <w:r>
              <w:rPr>
                <w:rFonts w:cs="Arial"/>
                <w:szCs w:val="24"/>
              </w:rPr>
              <w:t>-</w:t>
            </w:r>
            <w:r w:rsidRPr="00E030B9">
              <w:rPr>
                <w:rFonts w:cs="Arial"/>
                <w:szCs w:val="24"/>
              </w:rPr>
              <w:t>methoden nach ökonomischen, ökologischen, ge</w:t>
            </w:r>
            <w:r>
              <w:rPr>
                <w:rFonts w:cs="Arial"/>
                <w:szCs w:val="24"/>
              </w:rPr>
              <w:t>sellschaftlichen und ernährungs</w:t>
            </w:r>
            <w:r w:rsidRPr="00E030B9">
              <w:rPr>
                <w:rFonts w:cs="Arial"/>
                <w:szCs w:val="24"/>
              </w:rPr>
              <w:t>p</w:t>
            </w:r>
            <w:r>
              <w:rPr>
                <w:rFonts w:cs="Arial"/>
                <w:szCs w:val="24"/>
              </w:rPr>
              <w:t>hysiologischen Kriterien und be</w:t>
            </w:r>
            <w:r w:rsidRPr="00E030B9">
              <w:rPr>
                <w:rFonts w:cs="Arial"/>
                <w:szCs w:val="24"/>
              </w:rPr>
              <w:t>ziehen begründet Stellung dazu (B2, B4)</w:t>
            </w:r>
          </w:p>
        </w:tc>
      </w:tr>
      <w:tr w:rsidR="009F2C7E" w:rsidRPr="00E030B9" w14:paraId="6B95E398" w14:textId="6398BC96" w:rsidTr="009F2C7E">
        <w:tc>
          <w:tcPr>
            <w:tcW w:w="709" w:type="dxa"/>
          </w:tcPr>
          <w:p w14:paraId="6C4A1256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4</w:t>
            </w:r>
          </w:p>
        </w:tc>
        <w:tc>
          <w:tcPr>
            <w:tcW w:w="4677" w:type="dxa"/>
          </w:tcPr>
          <w:p w14:paraId="70AE58E9" w14:textId="77777777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werten ernährungsökologische Untersuchungen aus und identifizieren zentrale Probleme zur Umsetzung des Prinzips der Nachhaltigkeit (E1, E5)</w:t>
            </w:r>
          </w:p>
        </w:tc>
        <w:tc>
          <w:tcPr>
            <w:tcW w:w="710" w:type="dxa"/>
          </w:tcPr>
          <w:p w14:paraId="75879FCE" w14:textId="2BB251FE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V.10</w:t>
            </w:r>
          </w:p>
        </w:tc>
        <w:tc>
          <w:tcPr>
            <w:tcW w:w="4678" w:type="dxa"/>
          </w:tcPr>
          <w:p w14:paraId="6F0A8F74" w14:textId="5CAC8D44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stellen Kontroversen zur Verwendung unterschiedlicher Lebens</w:t>
            </w:r>
            <w:r w:rsidRPr="00E030B9">
              <w:rPr>
                <w:rFonts w:cs="Arial"/>
                <w:szCs w:val="24"/>
              </w:rPr>
              <w:t>mittel (u.a. Convenience Food vs. frische Lebensmittel, konventionell</w:t>
            </w:r>
            <w:r w:rsidR="00CD5AF5">
              <w:rPr>
                <w:rFonts w:cs="Arial"/>
                <w:szCs w:val="24"/>
              </w:rPr>
              <w:t xml:space="preserve"> vs. ökologisch erzeug</w:t>
            </w:r>
            <w:r>
              <w:rPr>
                <w:rFonts w:cs="Arial"/>
                <w:szCs w:val="24"/>
              </w:rPr>
              <w:t>te Lebens</w:t>
            </w:r>
            <w:r w:rsidRPr="00E030B9">
              <w:rPr>
                <w:rFonts w:cs="Arial"/>
                <w:szCs w:val="24"/>
              </w:rPr>
              <w:t>mittel) im Privathaushalt im Hinblick</w:t>
            </w:r>
            <w:r>
              <w:rPr>
                <w:rFonts w:cs="Arial"/>
                <w:szCs w:val="24"/>
              </w:rPr>
              <w:t xml:space="preserve"> auf Ökonomie, Ökologie, Gesund</w:t>
            </w:r>
            <w:r w:rsidRPr="00E030B9">
              <w:rPr>
                <w:rFonts w:cs="Arial"/>
                <w:szCs w:val="24"/>
              </w:rPr>
              <w:t>heit sowie Sensorik dar und erläutern Standpunkte dazu aus verschiedenen Perspektiven (B1)</w:t>
            </w:r>
          </w:p>
        </w:tc>
      </w:tr>
      <w:tr w:rsidR="009F2C7E" w:rsidRPr="00E030B9" w14:paraId="3D739DB4" w14:textId="032E4B75" w:rsidTr="009F2C7E">
        <w:tc>
          <w:tcPr>
            <w:tcW w:w="709" w:type="dxa"/>
          </w:tcPr>
          <w:p w14:paraId="70492F48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5</w:t>
            </w:r>
          </w:p>
        </w:tc>
        <w:tc>
          <w:tcPr>
            <w:tcW w:w="4677" w:type="dxa"/>
          </w:tcPr>
          <w:p w14:paraId="42A7E11B" w14:textId="04EE6919" w:rsidR="009F2C7E" w:rsidRPr="00E030B9" w:rsidRDefault="00D542B8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erklären komplexe ernährungsöko</w:t>
            </w:r>
            <w:r w:rsidR="009F2C7E" w:rsidRPr="00E030B9">
              <w:rPr>
                <w:rFonts w:cs="Arial"/>
                <w:szCs w:val="24"/>
              </w:rPr>
              <w:t>logische Zusammenhänge (u.a. die Folgen eines verstärkten Fisch- bz</w:t>
            </w:r>
            <w:r w:rsidR="009F2C7E">
              <w:rPr>
                <w:rFonts w:cs="Arial"/>
                <w:szCs w:val="24"/>
              </w:rPr>
              <w:t>w. Fleischkonsums) mit differen</w:t>
            </w:r>
            <w:r w:rsidR="009F2C7E" w:rsidRPr="00E030B9">
              <w:rPr>
                <w:rFonts w:cs="Arial"/>
                <w:szCs w:val="24"/>
              </w:rPr>
              <w:t>zierten Ursache-Wirkungs-Modellen un</w:t>
            </w:r>
            <w:r w:rsidR="009F2C7E">
              <w:rPr>
                <w:rFonts w:cs="Arial"/>
                <w:szCs w:val="24"/>
              </w:rPr>
              <w:t>d erläutern resultierende Konse</w:t>
            </w:r>
            <w:r w:rsidR="009F2C7E" w:rsidRPr="00E030B9">
              <w:rPr>
                <w:rFonts w:cs="Arial"/>
                <w:szCs w:val="24"/>
              </w:rPr>
              <w:t>quenzen für eine zukunftsfähige Ernährung (E6)</w:t>
            </w:r>
          </w:p>
        </w:tc>
        <w:tc>
          <w:tcPr>
            <w:tcW w:w="710" w:type="dxa"/>
          </w:tcPr>
          <w:p w14:paraId="221173CA" w14:textId="6B776F1B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V.11</w:t>
            </w:r>
          </w:p>
        </w:tc>
        <w:tc>
          <w:tcPr>
            <w:tcW w:w="4678" w:type="dxa"/>
          </w:tcPr>
          <w:p w14:paraId="1293CD47" w14:textId="66FCFD3D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unte</w:t>
            </w:r>
            <w:r>
              <w:rPr>
                <w:rFonts w:cs="Arial"/>
                <w:szCs w:val="24"/>
              </w:rPr>
              <w:t>rscheiden fachliche, wirtschaft</w:t>
            </w:r>
            <w:r w:rsidRPr="00E030B9">
              <w:rPr>
                <w:rFonts w:cs="Arial"/>
                <w:szCs w:val="24"/>
              </w:rPr>
              <w:t>lich-politische und ethische Maßstäbe zur Bewertung von gentechnisch veränderten Lebensmitteln (B1)</w:t>
            </w:r>
          </w:p>
        </w:tc>
      </w:tr>
      <w:tr w:rsidR="009F2C7E" w:rsidRPr="00E030B9" w14:paraId="5DA66B75" w14:textId="4B36CC72" w:rsidTr="009F2C7E">
        <w:tc>
          <w:tcPr>
            <w:tcW w:w="709" w:type="dxa"/>
          </w:tcPr>
          <w:p w14:paraId="1775D484" w14:textId="77777777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b/>
                <w:szCs w:val="24"/>
              </w:rPr>
            </w:pPr>
            <w:r w:rsidRPr="00E030B9">
              <w:rPr>
                <w:b/>
                <w:szCs w:val="24"/>
              </w:rPr>
              <w:t>V. 6</w:t>
            </w:r>
          </w:p>
        </w:tc>
        <w:tc>
          <w:tcPr>
            <w:tcW w:w="4677" w:type="dxa"/>
          </w:tcPr>
          <w:p w14:paraId="1E66826E" w14:textId="5B7045E7" w:rsidR="009F2C7E" w:rsidRPr="00E030B9" w:rsidRDefault="009F2C7E" w:rsidP="00CD5AF5">
            <w:pPr>
              <w:ind w:left="-57" w:right="-113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werten Untersuchungen zur Ernährungs</w:t>
            </w:r>
            <w:r w:rsidR="00D542B8">
              <w:rPr>
                <w:rFonts w:cs="Arial"/>
                <w:szCs w:val="24"/>
              </w:rPr>
              <w:t>-situation einer Bevöl</w:t>
            </w:r>
            <w:r w:rsidRPr="00E030B9">
              <w:rPr>
                <w:rFonts w:cs="Arial"/>
                <w:szCs w:val="24"/>
              </w:rPr>
              <w:t>kerungsgruppe unter bestimmte</w:t>
            </w:r>
            <w:r w:rsidR="00D542B8">
              <w:rPr>
                <w:rFonts w:cs="Arial"/>
                <w:szCs w:val="24"/>
              </w:rPr>
              <w:t xml:space="preserve">n regionalen und globalen </w:t>
            </w:r>
            <w:proofErr w:type="spellStart"/>
            <w:r w:rsidR="00D542B8">
              <w:rPr>
                <w:rFonts w:cs="Arial"/>
                <w:szCs w:val="24"/>
              </w:rPr>
              <w:t>Be</w:t>
            </w:r>
            <w:r w:rsidR="00CD5AF5">
              <w:rPr>
                <w:rFonts w:cs="Arial"/>
                <w:szCs w:val="24"/>
              </w:rPr>
              <w:t>-</w:t>
            </w:r>
            <w:r w:rsidR="00D542B8">
              <w:rPr>
                <w:rFonts w:cs="Arial"/>
                <w:szCs w:val="24"/>
              </w:rPr>
              <w:t>din</w:t>
            </w:r>
            <w:r w:rsidRPr="00E030B9">
              <w:rPr>
                <w:rFonts w:cs="Arial"/>
                <w:szCs w:val="24"/>
              </w:rPr>
              <w:t>gungen</w:t>
            </w:r>
            <w:proofErr w:type="spellEnd"/>
            <w:r w:rsidRPr="00E030B9">
              <w:rPr>
                <w:rFonts w:cs="Arial"/>
                <w:szCs w:val="24"/>
              </w:rPr>
              <w:t xml:space="preserve"> aus und identifizieren</w:t>
            </w:r>
            <w:r w:rsidR="00D542B8">
              <w:rPr>
                <w:rFonts w:cs="Arial"/>
                <w:szCs w:val="24"/>
              </w:rPr>
              <w:t xml:space="preserve"> Ursachen von Fehl- oder Mangel</w:t>
            </w:r>
            <w:r w:rsidRPr="00E030B9">
              <w:rPr>
                <w:rFonts w:cs="Arial"/>
                <w:szCs w:val="24"/>
              </w:rPr>
              <w:t>ernährung und de</w:t>
            </w:r>
            <w:r w:rsidR="00CD5AF5">
              <w:rPr>
                <w:rFonts w:cs="Arial"/>
                <w:szCs w:val="24"/>
              </w:rPr>
              <w:t>-</w:t>
            </w:r>
            <w:proofErr w:type="spellStart"/>
            <w:r w:rsidR="00CD5AF5">
              <w:rPr>
                <w:rFonts w:cs="Arial"/>
                <w:szCs w:val="24"/>
              </w:rPr>
              <w:t>ren</w:t>
            </w:r>
            <w:proofErr w:type="spellEnd"/>
            <w:r w:rsidR="00CD5AF5">
              <w:rPr>
                <w:rFonts w:cs="Arial"/>
                <w:szCs w:val="24"/>
              </w:rPr>
              <w:t xml:space="preserve"> ernährungs</w:t>
            </w:r>
            <w:bookmarkStart w:id="0" w:name="_GoBack"/>
            <w:bookmarkEnd w:id="0"/>
            <w:r w:rsidRPr="00E030B9">
              <w:rPr>
                <w:rFonts w:cs="Arial"/>
                <w:szCs w:val="24"/>
              </w:rPr>
              <w:t>physiologische Folgen (E5)</w:t>
            </w:r>
          </w:p>
        </w:tc>
        <w:tc>
          <w:tcPr>
            <w:tcW w:w="710" w:type="dxa"/>
          </w:tcPr>
          <w:p w14:paraId="104E1F56" w14:textId="5594D549" w:rsidR="009F2C7E" w:rsidRPr="00E030B9" w:rsidRDefault="009F2C7E" w:rsidP="009F2C7E">
            <w:pPr>
              <w:spacing w:before="120" w:after="120"/>
              <w:ind w:left="-57" w:right="-57"/>
              <w:jc w:val="center"/>
              <w:rPr>
                <w:rFonts w:cs="Arial"/>
                <w:szCs w:val="24"/>
              </w:rPr>
            </w:pPr>
            <w:r w:rsidRPr="00E030B9">
              <w:rPr>
                <w:b/>
                <w:szCs w:val="24"/>
              </w:rPr>
              <w:t>V.12</w:t>
            </w:r>
          </w:p>
        </w:tc>
        <w:tc>
          <w:tcPr>
            <w:tcW w:w="4678" w:type="dxa"/>
          </w:tcPr>
          <w:p w14:paraId="2014EBA1" w14:textId="1BCB6F7F" w:rsidR="009F2C7E" w:rsidRPr="00E030B9" w:rsidRDefault="009F2C7E" w:rsidP="009F2C7E">
            <w:pPr>
              <w:ind w:left="-57" w:right="-57"/>
              <w:jc w:val="left"/>
              <w:rPr>
                <w:rFonts w:cs="Arial"/>
                <w:szCs w:val="24"/>
              </w:rPr>
            </w:pPr>
            <w:r w:rsidRPr="00E030B9">
              <w:rPr>
                <w:rFonts w:cs="Arial"/>
                <w:szCs w:val="24"/>
              </w:rPr>
              <w:t>bewerten an konkreten Beispie</w:t>
            </w:r>
            <w:r w:rsidR="00D542B8">
              <w:rPr>
                <w:rFonts w:cs="Arial"/>
                <w:szCs w:val="24"/>
              </w:rPr>
              <w:t>len Beziehungen zwischen Konsum</w:t>
            </w:r>
            <w:r w:rsidRPr="00E030B9">
              <w:rPr>
                <w:rFonts w:cs="Arial"/>
                <w:szCs w:val="24"/>
              </w:rPr>
              <w:t>verhalten, Lebensstil und sozio-ökonomischem Status und beziehen begründet Position im Hinblick auf ethisch verantwortliches Handeln in der Gesellschaft (B1, B2, B3)</w:t>
            </w:r>
          </w:p>
        </w:tc>
      </w:tr>
    </w:tbl>
    <w:p w14:paraId="52876534" w14:textId="04556625" w:rsidR="00EB420B" w:rsidRPr="007D4394" w:rsidRDefault="00EB420B" w:rsidP="009F2C7E">
      <w:pPr>
        <w:ind w:left="-57" w:right="-57"/>
        <w:rPr>
          <w:sz w:val="28"/>
          <w:szCs w:val="28"/>
        </w:rPr>
      </w:pPr>
    </w:p>
    <w:sectPr w:rsidR="00EB420B" w:rsidRPr="007D4394" w:rsidSect="00974545">
      <w:pgSz w:w="11900" w:h="16840"/>
      <w:pgMar w:top="1134" w:right="1418" w:bottom="993" w:left="1134" w:header="709" w:footer="1985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5AA"/>
    <w:multiLevelType w:val="hybridMultilevel"/>
    <w:tmpl w:val="E6B44C80"/>
    <w:lvl w:ilvl="0" w:tplc="E4703D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F90C30"/>
    <w:multiLevelType w:val="hybridMultilevel"/>
    <w:tmpl w:val="8C424048"/>
    <w:lvl w:ilvl="0" w:tplc="EDBA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32C51"/>
    <w:multiLevelType w:val="hybridMultilevel"/>
    <w:tmpl w:val="AC8615C4"/>
    <w:lvl w:ilvl="0" w:tplc="EDBA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6760A"/>
    <w:multiLevelType w:val="hybridMultilevel"/>
    <w:tmpl w:val="8F8436D8"/>
    <w:lvl w:ilvl="0" w:tplc="EDBA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71625"/>
    <w:multiLevelType w:val="hybridMultilevel"/>
    <w:tmpl w:val="11F2BEA2"/>
    <w:lvl w:ilvl="0" w:tplc="00980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795594"/>
    <w:multiLevelType w:val="hybridMultilevel"/>
    <w:tmpl w:val="A244B474"/>
    <w:lvl w:ilvl="0" w:tplc="EDBAA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9"/>
    <w:rsid w:val="00052D7C"/>
    <w:rsid w:val="001161FF"/>
    <w:rsid w:val="001E4530"/>
    <w:rsid w:val="002B016A"/>
    <w:rsid w:val="002F1AB9"/>
    <w:rsid w:val="003810B7"/>
    <w:rsid w:val="00425828"/>
    <w:rsid w:val="004E56CF"/>
    <w:rsid w:val="00505046"/>
    <w:rsid w:val="00564575"/>
    <w:rsid w:val="0058038A"/>
    <w:rsid w:val="005A31D5"/>
    <w:rsid w:val="005C397D"/>
    <w:rsid w:val="006079BD"/>
    <w:rsid w:val="00607B7E"/>
    <w:rsid w:val="006A6289"/>
    <w:rsid w:val="007337DD"/>
    <w:rsid w:val="00771B48"/>
    <w:rsid w:val="007D4394"/>
    <w:rsid w:val="00917DCB"/>
    <w:rsid w:val="009502A7"/>
    <w:rsid w:val="0095032A"/>
    <w:rsid w:val="00973DB1"/>
    <w:rsid w:val="00974545"/>
    <w:rsid w:val="00992EC8"/>
    <w:rsid w:val="009C1B9A"/>
    <w:rsid w:val="009C799C"/>
    <w:rsid w:val="009F2C7E"/>
    <w:rsid w:val="00A449F3"/>
    <w:rsid w:val="00A464C9"/>
    <w:rsid w:val="00A72A36"/>
    <w:rsid w:val="00AB4135"/>
    <w:rsid w:val="00AD51E9"/>
    <w:rsid w:val="00B20253"/>
    <w:rsid w:val="00B76A52"/>
    <w:rsid w:val="00BD10FB"/>
    <w:rsid w:val="00C23E4D"/>
    <w:rsid w:val="00CD5AF5"/>
    <w:rsid w:val="00D542B8"/>
    <w:rsid w:val="00D93EDE"/>
    <w:rsid w:val="00E030B9"/>
    <w:rsid w:val="00E740E3"/>
    <w:rsid w:val="00EB420B"/>
    <w:rsid w:val="00ED25D8"/>
    <w:rsid w:val="00F56D72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143F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5D8"/>
    <w:pPr>
      <w:jc w:val="both"/>
    </w:pPr>
    <w:rPr>
      <w:rFonts w:ascii="Arial" w:eastAsia="Times New Roman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5D8"/>
    <w:pPr>
      <w:jc w:val="both"/>
    </w:pPr>
    <w:rPr>
      <w:rFonts w:ascii="Arial" w:eastAsia="Times New Roman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C8A4A-4C53-AE43-8E71-4B4B2FAA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2066</Words>
  <Characters>13016</Characters>
  <Application>Microsoft Macintosh Word</Application>
  <DocSecurity>0</DocSecurity>
  <Lines>108</Lines>
  <Paragraphs>30</Paragraphs>
  <ScaleCrop>false</ScaleCrop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Freund</dc:creator>
  <cp:keywords/>
  <dc:description/>
  <cp:lastModifiedBy>Werner Freund</cp:lastModifiedBy>
  <cp:revision>9</cp:revision>
  <dcterms:created xsi:type="dcterms:W3CDTF">2013-10-10T05:16:00Z</dcterms:created>
  <dcterms:modified xsi:type="dcterms:W3CDTF">2013-10-10T07:19:00Z</dcterms:modified>
</cp:coreProperties>
</file>