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A" w:rsidRPr="00CF0A95" w:rsidRDefault="00541852" w:rsidP="00CF0A95">
      <w:pPr>
        <w:rPr>
          <w:rFonts w:ascii="Arial" w:hAnsi="Arial" w:cs="Arial"/>
          <w:b/>
          <w:bCs/>
          <w:sz w:val="28"/>
          <w:szCs w:val="28"/>
        </w:rPr>
      </w:pPr>
      <w:r w:rsidRPr="00191694">
        <w:rPr>
          <w:rFonts w:ascii="Arial" w:hAnsi="Arial" w:cs="Arial"/>
          <w:b/>
          <w:bCs/>
          <w:sz w:val="28"/>
          <w:szCs w:val="28"/>
        </w:rPr>
        <w:t>Inhaltsfeld 3: Genetik</w:t>
      </w:r>
    </w:p>
    <w:p w:rsidR="00541852" w:rsidRDefault="00892053" w:rsidP="00191694">
      <w:pPr>
        <w:spacing w:after="0"/>
        <w:rPr>
          <w:rFonts w:ascii="Arial" w:hAnsi="Arial" w:cs="Arial"/>
          <w:b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>Studierende</w:t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CF0A95">
        <w:rPr>
          <w:rFonts w:ascii="Arial" w:hAnsi="Arial" w:cs="Arial"/>
          <w:b/>
          <w:bCs/>
          <w:sz w:val="24"/>
          <w:szCs w:val="23"/>
        </w:rPr>
        <w:tab/>
      </w:r>
      <w:r w:rsidR="00CF0A95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 xml:space="preserve">im 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Grundkurs</w:t>
      </w:r>
      <w:r w:rsidR="00191694">
        <w:rPr>
          <w:rFonts w:ascii="Arial" w:hAnsi="Arial" w:cs="Arial"/>
          <w:b/>
          <w:bCs/>
          <w:sz w:val="24"/>
          <w:szCs w:val="23"/>
        </w:rPr>
        <w:t xml:space="preserve"> (KLP S. 29-30)</w:t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>im L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eistun</w:t>
      </w:r>
      <w:r w:rsidR="001463C8">
        <w:rPr>
          <w:rFonts w:ascii="Arial" w:hAnsi="Arial" w:cs="Arial"/>
          <w:b/>
          <w:bCs/>
          <w:sz w:val="24"/>
          <w:szCs w:val="23"/>
        </w:rPr>
        <w:t>g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skurs</w:t>
      </w:r>
      <w:r w:rsidR="00191694">
        <w:rPr>
          <w:rFonts w:ascii="Arial" w:hAnsi="Arial" w:cs="Arial"/>
          <w:b/>
          <w:bCs/>
          <w:sz w:val="24"/>
          <w:szCs w:val="23"/>
        </w:rPr>
        <w:t xml:space="preserve"> (KLP S. 3</w:t>
      </w:r>
      <w:r>
        <w:rPr>
          <w:rFonts w:ascii="Arial" w:hAnsi="Arial" w:cs="Arial"/>
          <w:b/>
          <w:bCs/>
          <w:sz w:val="24"/>
          <w:szCs w:val="23"/>
        </w:rPr>
        <w:t>7</w:t>
      </w:r>
      <w:r w:rsidR="00191694">
        <w:rPr>
          <w:rFonts w:ascii="Arial" w:hAnsi="Arial" w:cs="Arial"/>
          <w:b/>
          <w:bCs/>
          <w:sz w:val="24"/>
          <w:szCs w:val="23"/>
        </w:rPr>
        <w:t>-3</w:t>
      </w:r>
      <w:r>
        <w:rPr>
          <w:rFonts w:ascii="Arial" w:hAnsi="Arial" w:cs="Arial"/>
          <w:b/>
          <w:bCs/>
          <w:sz w:val="24"/>
          <w:szCs w:val="23"/>
        </w:rPr>
        <w:t>9</w:t>
      </w:r>
      <w:r w:rsidR="00191694">
        <w:rPr>
          <w:rFonts w:ascii="Arial" w:hAnsi="Arial" w:cs="Arial"/>
          <w:b/>
          <w:bCs/>
          <w:sz w:val="24"/>
          <w:szCs w:val="23"/>
        </w:rPr>
        <w:t>)</w:t>
      </w:r>
    </w:p>
    <w:tbl>
      <w:tblPr>
        <w:tblStyle w:val="Tabellenraster"/>
        <w:tblW w:w="22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4"/>
        <w:gridCol w:w="11198"/>
      </w:tblGrid>
      <w:tr w:rsidR="004365BA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4365BA" w:rsidRPr="001D2CF2" w:rsidRDefault="004365BA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die Grundprinzipien der Rekombination (Reduktion und Neukombination der Chr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mosomen) bei Meiose und Befruchtung (UF4),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4365BA" w:rsidRPr="001D2CF2" w:rsidRDefault="004365BA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die Grundprinzipien der inter- und intrachromosomalen</w:t>
            </w:r>
            <w:bookmarkStart w:id="0" w:name="_GoBack"/>
            <w:bookmarkEnd w:id="0"/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Rekombination (Reduktion und Neukombination der Chromosomen) bei Meiose und Befruchtung (UF4),</w:t>
            </w:r>
          </w:p>
        </w:tc>
      </w:tr>
      <w:tr w:rsidR="004365BA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4365BA" w:rsidRPr="001D2CF2" w:rsidRDefault="004365BA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vergleichen die molekularen Abläufe in der Proteinbiosynthese bei Pro- und Eukaryoten (UF1, UF3),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4365BA" w:rsidRPr="001D2CF2" w:rsidRDefault="004365BA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vergleichen die molekularbiologischen Abläufe in der Proteinbiosynthese bei Pro- und Euk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ryoten (UF1, UF3),</w:t>
            </w:r>
          </w:p>
        </w:tc>
      </w:tr>
      <w:tr w:rsidR="004365BA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4365BA" w:rsidRPr="001D2CF2" w:rsidRDefault="004365BA" w:rsidP="00CF0A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4365BA" w:rsidRPr="001D2CF2" w:rsidRDefault="0076744F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die Bedeutung der Transkriptionsfaktoren für die Regulation von Zellstoffwechsel und Entwicklung (UF1, UF4),</w:t>
            </w:r>
          </w:p>
        </w:tc>
      </w:tr>
      <w:tr w:rsidR="004365BA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4365BA" w:rsidRPr="001D2CF2" w:rsidRDefault="00966618" w:rsidP="00CF0A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Eigenschaften des genetischen Codes und charakterisieren mit dessen Hilfe Genm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tationen (UF1, UF2),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4365BA" w:rsidRPr="001D2CF2" w:rsidRDefault="00966618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Eigenschaften des genetischen Codes und charakterisieren mit dessen Hilfe Mutat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onstypen (UF1, UF2),</w:t>
            </w:r>
          </w:p>
        </w:tc>
      </w:tr>
      <w:tr w:rsidR="004365BA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4365BA" w:rsidRPr="001D2CF2" w:rsidRDefault="00966618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erklären die Auswirkungen verschiedener Gen-, Chromosom- und Genommutationen auf den Phänotyp (u.a. unter Berücksichtigung von Genwirkketten) (UF1, UF4),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4365BA" w:rsidRPr="001D2CF2" w:rsidRDefault="00966618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erklären die Auswirkungen verschiedener Gen-, Chromosom- und Genommutationen auf den Phänotyp (u.a. unter Berücksichtigung von Genwirkketten) (UF1, UF4),</w:t>
            </w:r>
          </w:p>
        </w:tc>
      </w:tr>
      <w:tr w:rsidR="00966618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966618" w:rsidRPr="001D2CF2" w:rsidRDefault="00E52B19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beschreiben molekulargenetische Werkzeuge und erläutern deren Bedeutung für gente</w:t>
            </w:r>
            <w:r w:rsidR="00F8423E">
              <w:rPr>
                <w:rFonts w:ascii="Arial" w:hAnsi="Arial" w:cs="Arial"/>
                <w:b/>
                <w:sz w:val="24"/>
                <w:szCs w:val="24"/>
              </w:rPr>
              <w:t>chn</w:t>
            </w:r>
            <w:r w:rsidR="00F8423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8423E">
              <w:rPr>
                <w:rFonts w:ascii="Arial" w:hAnsi="Arial" w:cs="Arial"/>
                <w:b/>
                <w:sz w:val="24"/>
                <w:szCs w:val="24"/>
              </w:rPr>
              <w:t>sche Grundoperationen (UF1),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966618" w:rsidRPr="001D2CF2" w:rsidRDefault="00966618" w:rsidP="00CF0A95">
            <w:pPr>
              <w:pStyle w:val="Default"/>
              <w:spacing w:after="37"/>
              <w:rPr>
                <w:b/>
              </w:rPr>
            </w:pPr>
            <w:r w:rsidRPr="001D2CF2">
              <w:rPr>
                <w:b/>
              </w:rPr>
              <w:sym w:font="Symbol" w:char="F0B7"/>
            </w:r>
            <w:r w:rsidRPr="001D2CF2">
              <w:rPr>
                <w:b/>
              </w:rPr>
              <w:t xml:space="preserve"> </w:t>
            </w:r>
            <w:r w:rsidR="00B53D46" w:rsidRPr="001D2CF2">
              <w:rPr>
                <w:b/>
              </w:rPr>
              <w:t>beschreiben molekulargenetische Werkzeuge und erläutern deren Bedeutung für gente</w:t>
            </w:r>
            <w:r w:rsidR="00F8423E">
              <w:rPr>
                <w:b/>
              </w:rPr>
              <w:t>chn</w:t>
            </w:r>
            <w:r w:rsidR="00F8423E">
              <w:rPr>
                <w:b/>
              </w:rPr>
              <w:t>i</w:t>
            </w:r>
            <w:r w:rsidR="00F8423E">
              <w:rPr>
                <w:b/>
              </w:rPr>
              <w:t>sche Grundoperationen (UF1),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und entwickeln Modellvorstellungen auf der Grundlage von Experimenten zur Au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klärung der Genregulation bei Prokaryoten (E2, E5, E6),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und entwickeln Modellvorstellungen auf der Grundlage von Experimenten zur Au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klärung der Genregulation bei Prokaryoten (E2, E5, E6),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552947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 xml:space="preserve">begründen die Verwendung bestimmter Modellorganismen (u.a. </w:t>
            </w:r>
            <w:r w:rsidR="00657FC6" w:rsidRPr="001D2CF2">
              <w:rPr>
                <w:rFonts w:ascii="Arial" w:hAnsi="Arial" w:cs="Arial"/>
                <w:i/>
                <w:iCs/>
                <w:sz w:val="24"/>
                <w:szCs w:val="24"/>
              </w:rPr>
              <w:t>E. coli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>) für besondere Fragestellu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>n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>gen genetischer Forschung (E6, E3),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924D22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 xml:space="preserve">begründen die Verwendung bestimmter Modellorganismen (u.a. </w:t>
            </w:r>
            <w:r w:rsidR="00657FC6" w:rsidRPr="001D2CF2">
              <w:rPr>
                <w:rFonts w:ascii="Arial" w:hAnsi="Arial" w:cs="Arial"/>
                <w:i/>
                <w:iCs/>
                <w:sz w:val="24"/>
                <w:szCs w:val="24"/>
              </w:rPr>
              <w:t>E. coli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>) für besondere Fragestellu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>n</w:t>
            </w:r>
            <w:r w:rsidR="00657FC6" w:rsidRPr="001D2CF2">
              <w:rPr>
                <w:rFonts w:ascii="Arial" w:hAnsi="Arial" w:cs="Arial"/>
                <w:sz w:val="24"/>
                <w:szCs w:val="24"/>
              </w:rPr>
              <w:t>gen genetischer Forschung (E6, E3),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2CF2">
              <w:rPr>
                <w:rFonts w:ascii="Arial" w:hAnsi="Arial" w:cs="Arial"/>
                <w:sz w:val="24"/>
                <w:szCs w:val="24"/>
              </w:rPr>
              <w:t>erklären mithilfe eines Modells die Wechselwirkung von Proto-Onkogenen und Tumor-Suppressorgenen auf die Regulation des Zellzyklus und erklären die Folgen von Mutationen in diesen Genen (E6, UF1, UF3, UF4),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  <w:spacing w:after="37"/>
              <w:rPr>
                <w:b/>
              </w:rPr>
            </w:pPr>
            <w:r w:rsidRPr="001D2CF2">
              <w:rPr>
                <w:b/>
              </w:rPr>
              <w:sym w:font="Symbol" w:char="F0B7"/>
            </w:r>
            <w:r w:rsidRPr="001D2CF2">
              <w:rPr>
                <w:b/>
              </w:rPr>
              <w:t xml:space="preserve"> </w:t>
            </w:r>
            <w:r w:rsidR="001D2CF2">
              <w:rPr>
                <w:b/>
              </w:rPr>
              <w:t>e</w:t>
            </w:r>
            <w:r w:rsidRPr="001D2CF2">
              <w:rPr>
                <w:b/>
              </w:rPr>
              <w:t>rklären mithilfe eines Modells die Wechselwirkung von Proto-Onkogenen und Tumor-Suppressorgenen auf die Regulation des Zellzyklus und beurteilen die Folgen von Mutationen in diesen Genen (E6, UF1, UF3, UF4)</w:t>
            </w:r>
            <w:r w:rsidR="00F8423E">
              <w:rPr>
                <w:b/>
              </w:rPr>
              <w:t>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  <w:spacing w:after="37"/>
              <w:rPr>
                <w:b/>
              </w:rPr>
            </w:pPr>
            <w:r w:rsidRPr="00B0711B">
              <w:rPr>
                <w:color w:val="808080" w:themeColor="background1" w:themeShade="80"/>
                <w:sz w:val="20"/>
              </w:rPr>
              <w:sym w:font="Symbol" w:char="F0B7"/>
            </w:r>
            <w:r w:rsidRPr="001D2CF2">
              <w:t xml:space="preserve"> reflektieren und erläutern den Wandel des Genbegriffes (E7)</w:t>
            </w:r>
            <w:r w:rsidR="00F8423E">
              <w:t>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benennen Fragestellungen und stellen Hypothesen zur Entschlüsselung des genetisches Codes auf und erläutern klassische Experimente zur Entwicklung der Code-Sonne (E1, E3, E4)</w:t>
            </w:r>
            <w:r w:rsidR="00F842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wissenschaftliche Experimente zur Aufklärung der Proteinbiosynthese, generieren Hypothesen auf der Grundlage der Versuchspläne und interpretieren die Versuchsergebnisse (E3, E4, E5),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erklären mithilfe von Modellen genregulatorische Vorgänge bei Eukaryoten (E6),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2CF2">
              <w:rPr>
                <w:rFonts w:ascii="Arial" w:hAnsi="Arial" w:cs="Arial"/>
                <w:sz w:val="24"/>
                <w:szCs w:val="24"/>
              </w:rPr>
              <w:t>erklären einen epigenetischen Mechanismus als Modell zur Regelung des Zellstoffwechsels (E6),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epigenetische Modelle zur Regelung des Zellstoffwechsels und leiten Konsequenzen für den Organismus ab (E6),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molekulargenetische Verfahren (u.a. PCR, Gelelektrophorese) und ihre Einsatzgebi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te (E4, E2, UF1)</w:t>
            </w:r>
            <w:r w:rsidR="00F842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erläutern molekulargenetische Verfahren (u.a. PCR, Gelelektrophorese) und ihre Einsatzgebi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te (E4, E2, UF1)</w:t>
            </w:r>
            <w:r w:rsidR="00F842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formulieren bei der Stammbaumanalyse Hypothesen zu</w:t>
            </w:r>
            <w:r w:rsidR="00E32C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2C20" w:rsidRPr="001D2CF2">
              <w:rPr>
                <w:rFonts w:ascii="Arial" w:hAnsi="Arial" w:cs="Arial"/>
                <w:b/>
                <w:sz w:val="24"/>
                <w:szCs w:val="24"/>
              </w:rPr>
              <w:t>X-chromosomal</w:t>
            </w:r>
            <w:r w:rsidR="00E32C20">
              <w:rPr>
                <w:rFonts w:ascii="Arial" w:hAnsi="Arial" w:cs="Arial"/>
                <w:b/>
                <w:sz w:val="24"/>
                <w:szCs w:val="24"/>
              </w:rPr>
              <w:t>en und</w:t>
            </w:r>
            <w:r w:rsidR="00E32C20" w:rsidRPr="001D2CF2">
              <w:rPr>
                <w:rFonts w:ascii="Arial" w:hAnsi="Arial" w:cs="Arial"/>
                <w:b/>
                <w:sz w:val="24"/>
                <w:szCs w:val="24"/>
              </w:rPr>
              <w:t xml:space="preserve"> autosomal</w:t>
            </w:r>
            <w:r w:rsidR="00E32C20"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Vererbungsmod</w:t>
            </w:r>
            <w:r w:rsidR="00E32C2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genetisch bedingter Merkmale und begründen die Hypothesen mit vorhand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nen Daten auf der Grundlage der Meiose (E1, E3, E5, UF4, K4),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formulieren bei der Stammbaumanalyse Hypothesen zum Vererbungsmodus genetisch b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>dingter Merkmale (X-chromosomal, autosomal, Zweifaktorenanalyse; Kopplung, Crossing-over) und begründen die Hypothesen mit vorhandenen Daten auf der Grundlage der Meiose (E1, E3, E5, UF4, K4),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2CF2">
              <w:rPr>
                <w:rFonts w:ascii="Arial" w:hAnsi="Arial" w:cs="Arial"/>
                <w:sz w:val="24"/>
                <w:szCs w:val="24"/>
              </w:rPr>
              <w:t>recherchieren Informationen zu humangenetischen Fragestellungen (u.a. genetisch bedingten Kran</w:t>
            </w:r>
            <w:r w:rsidRPr="001D2CF2">
              <w:rPr>
                <w:rFonts w:ascii="Arial" w:hAnsi="Arial" w:cs="Arial"/>
                <w:sz w:val="24"/>
                <w:szCs w:val="24"/>
              </w:rPr>
              <w:t>k</w:t>
            </w:r>
            <w:r w:rsidRPr="001D2CF2">
              <w:rPr>
                <w:rFonts w:ascii="Arial" w:hAnsi="Arial" w:cs="Arial"/>
                <w:sz w:val="24"/>
                <w:szCs w:val="24"/>
              </w:rPr>
              <w:t>heiten), schätzen die Relevanz und Zuverlässigkeit der Informationen ein und fassen die Ergebnisse strukturiert zusammen (K2, K1, K3, K4),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  <w:rPr>
                <w:b/>
              </w:rPr>
            </w:pPr>
            <w:r w:rsidRPr="00B0711B">
              <w:rPr>
                <w:color w:val="808080" w:themeColor="background1" w:themeShade="80"/>
                <w:sz w:val="20"/>
              </w:rPr>
              <w:sym w:font="Symbol" w:char="F0B7"/>
            </w:r>
            <w:r w:rsidRPr="001D2CF2">
              <w:rPr>
                <w:b/>
              </w:rPr>
              <w:t xml:space="preserve"> </w:t>
            </w:r>
            <w:r w:rsidRPr="001D2CF2">
              <w:t>stellen mithilfe geeigneter Medien die Herstellung transgener Lebewesen dar und diskutieren ihre Verwendung (K1, B3),</w:t>
            </w:r>
            <w:r w:rsidRPr="001D2CF2">
              <w:rPr>
                <w:b/>
              </w:rPr>
              <w:t xml:space="preserve"> 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  <w:rPr>
                <w:b/>
              </w:rPr>
            </w:pPr>
            <w:r w:rsidRPr="00B0711B">
              <w:rPr>
                <w:color w:val="808080" w:themeColor="background1" w:themeShade="80"/>
                <w:sz w:val="20"/>
              </w:rPr>
              <w:sym w:font="Symbol" w:char="F0B7"/>
            </w:r>
            <w:r w:rsidRPr="001D2CF2">
              <w:rPr>
                <w:b/>
              </w:rPr>
              <w:t xml:space="preserve"> </w:t>
            </w:r>
            <w:r w:rsidRPr="001D2CF2">
              <w:t>stellen mithilfe geeigneter Medien die Herstellung transgener Lebewesen dar und diskutieren ihre Verwendung (K1, B3),</w:t>
            </w:r>
            <w:r w:rsidRPr="001D2CF2">
              <w:rPr>
                <w:b/>
              </w:rPr>
              <w:t xml:space="preserve"> 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</w:pPr>
            <w:r w:rsidRPr="00B0711B">
              <w:rPr>
                <w:color w:val="808080" w:themeColor="background1" w:themeShade="80"/>
                <w:sz w:val="20"/>
              </w:rPr>
              <w:sym w:font="Symbol" w:char="F0B7"/>
            </w:r>
            <w:r w:rsidRPr="001D2CF2">
              <w:t xml:space="preserve"> recherchieren Unterschiede zwischen embryonalen und adulten Stammzellen und präsentieren diese unter Verwendung geeigneter Darstellungsformen (K2, K3),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  <w:rPr>
                <w:b/>
              </w:rPr>
            </w:pPr>
            <w:r w:rsidRPr="001D2CF2">
              <w:rPr>
                <w:b/>
              </w:rPr>
              <w:sym w:font="Symbol" w:char="F0B7"/>
            </w:r>
            <w:r w:rsidRPr="001D2CF2">
              <w:rPr>
                <w:b/>
              </w:rPr>
              <w:t xml:space="preserve"> recherchieren Unterschiede zwischen embryonalen und adulten Stammzellen und präsenti</w:t>
            </w:r>
            <w:r w:rsidRPr="001D2CF2">
              <w:rPr>
                <w:b/>
              </w:rPr>
              <w:t>e</w:t>
            </w:r>
            <w:r w:rsidRPr="001D2CF2">
              <w:rPr>
                <w:b/>
              </w:rPr>
              <w:t>ren diese unter Verwendung geeigneter Darstellungsformen (K2, K3),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sz w:val="24"/>
                <w:szCs w:val="24"/>
              </w:rPr>
              <w:t xml:space="preserve"> stellen naturwissenschaftlich-gesellschaftliche Positionen zum therapeutischen Einsatz von Stam</w:t>
            </w:r>
            <w:r w:rsidRPr="001D2CF2">
              <w:rPr>
                <w:rFonts w:ascii="Arial" w:hAnsi="Arial" w:cs="Arial"/>
                <w:sz w:val="24"/>
                <w:szCs w:val="24"/>
              </w:rPr>
              <w:t>m</w:t>
            </w:r>
            <w:r w:rsidRPr="001D2CF2">
              <w:rPr>
                <w:rFonts w:ascii="Arial" w:hAnsi="Arial" w:cs="Arial"/>
                <w:sz w:val="24"/>
                <w:szCs w:val="24"/>
              </w:rPr>
              <w:t>zellen dar und bewerten Interessen sowie Folgen ethisch (B3, B4),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CF2">
              <w:rPr>
                <w:rFonts w:ascii="Arial" w:hAnsi="Arial" w:cs="Arial"/>
                <w:b/>
                <w:sz w:val="24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stellen naturwissenschaftlich-gesellschaftliche Positionen zum therapeutischen Einsatz von Stammzellen dar und bewerten Interessen sowie Folgen ethisch (B3, B4),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11B"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  <w:sym w:font="Symbol" w:char="F0B7"/>
            </w:r>
            <w:r w:rsidRPr="001D2C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2CF2">
              <w:rPr>
                <w:rFonts w:ascii="Arial" w:hAnsi="Arial" w:cs="Arial"/>
                <w:sz w:val="24"/>
                <w:szCs w:val="24"/>
              </w:rPr>
              <w:t>beschreiben aktuelle Entwicklungen in der Biotechnologie bis hin zum Aufbau von synthetischen O</w:t>
            </w:r>
            <w:r w:rsidRPr="001D2CF2">
              <w:rPr>
                <w:rFonts w:ascii="Arial" w:hAnsi="Arial" w:cs="Arial"/>
                <w:sz w:val="24"/>
                <w:szCs w:val="24"/>
              </w:rPr>
              <w:t>r</w:t>
            </w:r>
            <w:r w:rsidRPr="001D2CF2">
              <w:rPr>
                <w:rFonts w:ascii="Arial" w:hAnsi="Arial" w:cs="Arial"/>
                <w:sz w:val="24"/>
                <w:szCs w:val="24"/>
              </w:rPr>
              <w:t>ganismen in ihren Konsequenzen für unterschiedliche Einsatz</w:t>
            </w:r>
            <w:r w:rsidR="00F8423E">
              <w:rPr>
                <w:rFonts w:ascii="Arial" w:hAnsi="Arial" w:cs="Arial"/>
                <w:sz w:val="24"/>
                <w:szCs w:val="24"/>
              </w:rPr>
              <w:t>ziele und bewerten sie (B3, B4),</w:t>
            </w:r>
          </w:p>
        </w:tc>
      </w:tr>
      <w:tr w:rsidR="00657FC6" w:rsidTr="00CF0A95">
        <w:tc>
          <w:tcPr>
            <w:tcW w:w="11194" w:type="dxa"/>
            <w:shd w:val="clear" w:color="auto" w:fill="FFFFFF" w:themeFill="background1"/>
            <w:vAlign w:val="center"/>
          </w:tcPr>
          <w:p w:rsidR="00657FC6" w:rsidRPr="001D2CF2" w:rsidRDefault="00657FC6" w:rsidP="00B52E99">
            <w:pPr>
              <w:rPr>
                <w:b/>
              </w:rPr>
            </w:pPr>
            <w:r w:rsidRPr="00B0711B">
              <w:rPr>
                <w:color w:val="808080" w:themeColor="background1" w:themeShade="80"/>
                <w:sz w:val="20"/>
              </w:rPr>
              <w:sym w:font="Symbol" w:char="F0B7"/>
            </w:r>
            <w:r w:rsidRPr="001D2CF2">
              <w:rPr>
                <w:b/>
              </w:rPr>
              <w:t xml:space="preserve"> </w:t>
            </w:r>
            <w:r w:rsidRPr="00994918">
              <w:rPr>
                <w:rFonts w:ascii="Arial" w:hAnsi="Arial" w:cs="Arial"/>
                <w:sz w:val="24"/>
              </w:rPr>
              <w:t>geben die Bedeutung von DNA-Chips an und beurteil</w:t>
            </w:r>
            <w:r w:rsidR="00F8423E">
              <w:rPr>
                <w:rFonts w:ascii="Arial" w:hAnsi="Arial" w:cs="Arial"/>
                <w:sz w:val="24"/>
              </w:rPr>
              <w:t>en Chancen und Risiken (B1, B3),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57FC6" w:rsidRPr="001D2CF2" w:rsidRDefault="00657FC6" w:rsidP="00CF0A95">
            <w:pPr>
              <w:pStyle w:val="Default"/>
            </w:pPr>
            <w:r w:rsidRPr="00B0711B">
              <w:rPr>
                <w:color w:val="808080" w:themeColor="background1" w:themeShade="80"/>
                <w:sz w:val="20"/>
              </w:rPr>
              <w:sym w:font="Symbol" w:char="F0B7"/>
            </w:r>
            <w:r w:rsidRPr="001D2CF2">
              <w:t xml:space="preserve"> geben die Bedeutung von DNA-Chips und Hochdurchsatz-Sequenzierung an und bewerten Chancen und Risiken (B1, B3), </w:t>
            </w:r>
          </w:p>
        </w:tc>
      </w:tr>
    </w:tbl>
    <w:p w:rsidR="00921D5E" w:rsidRPr="00614256" w:rsidRDefault="00921D5E" w:rsidP="009C0E10">
      <w:pPr>
        <w:spacing w:before="240"/>
        <w:rPr>
          <w:rFonts w:ascii="Arial" w:hAnsi="Arial" w:cs="Arial"/>
          <w:sz w:val="16"/>
        </w:rPr>
      </w:pPr>
      <w:r w:rsidRPr="002D3175">
        <w:rPr>
          <w:rFonts w:ascii="Arial" w:hAnsi="Arial" w:cs="Arial"/>
          <w:b/>
          <w:sz w:val="24"/>
          <w:szCs w:val="24"/>
        </w:rPr>
        <w:t>Fettdruck</w:t>
      </w:r>
      <w:r>
        <w:rPr>
          <w:rFonts w:ascii="Arial" w:hAnsi="Arial" w:cs="Arial"/>
          <w:sz w:val="24"/>
          <w:szCs w:val="24"/>
        </w:rPr>
        <w:t>: Kompetenzerwartungen, die für eine zentrale Überprüfung geeignet sind</w:t>
      </w:r>
    </w:p>
    <w:sectPr w:rsidR="00921D5E" w:rsidRPr="00614256" w:rsidSect="0082644A">
      <w:footerReference w:type="default" r:id="rId7"/>
      <w:pgSz w:w="23814" w:h="16839" w:orient="landscape" w:code="8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7F" w:rsidRDefault="00675C7F" w:rsidP="00AE42BE">
      <w:pPr>
        <w:spacing w:after="0" w:line="240" w:lineRule="auto"/>
      </w:pPr>
      <w:r>
        <w:separator/>
      </w:r>
    </w:p>
  </w:endnote>
  <w:endnote w:type="continuationSeparator" w:id="0">
    <w:p w:rsidR="00675C7F" w:rsidRDefault="00675C7F" w:rsidP="00A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BE" w:rsidRDefault="00AE42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7F" w:rsidRDefault="00675C7F" w:rsidP="00AE42BE">
      <w:pPr>
        <w:spacing w:after="0" w:line="240" w:lineRule="auto"/>
      </w:pPr>
      <w:r>
        <w:separator/>
      </w:r>
    </w:p>
  </w:footnote>
  <w:footnote w:type="continuationSeparator" w:id="0">
    <w:p w:rsidR="00675C7F" w:rsidRDefault="00675C7F" w:rsidP="00AE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2"/>
    <w:rsid w:val="0002789B"/>
    <w:rsid w:val="00035B35"/>
    <w:rsid w:val="000621BD"/>
    <w:rsid w:val="000B6F9A"/>
    <w:rsid w:val="000B71AF"/>
    <w:rsid w:val="000F118E"/>
    <w:rsid w:val="00101648"/>
    <w:rsid w:val="0011252B"/>
    <w:rsid w:val="001463C8"/>
    <w:rsid w:val="00191694"/>
    <w:rsid w:val="001A0EA9"/>
    <w:rsid w:val="001D2CF2"/>
    <w:rsid w:val="00265062"/>
    <w:rsid w:val="002E0342"/>
    <w:rsid w:val="00397F6C"/>
    <w:rsid w:val="003B7A9C"/>
    <w:rsid w:val="004275DF"/>
    <w:rsid w:val="00435DC8"/>
    <w:rsid w:val="004365BA"/>
    <w:rsid w:val="00475405"/>
    <w:rsid w:val="00492C74"/>
    <w:rsid w:val="0049738B"/>
    <w:rsid w:val="004E3F22"/>
    <w:rsid w:val="004F4223"/>
    <w:rsid w:val="004F7DFB"/>
    <w:rsid w:val="005167EA"/>
    <w:rsid w:val="005323C1"/>
    <w:rsid w:val="00541852"/>
    <w:rsid w:val="00552947"/>
    <w:rsid w:val="0056030B"/>
    <w:rsid w:val="0057650C"/>
    <w:rsid w:val="00594C2A"/>
    <w:rsid w:val="005F082C"/>
    <w:rsid w:val="006063E9"/>
    <w:rsid w:val="00614256"/>
    <w:rsid w:val="0064608F"/>
    <w:rsid w:val="006506C2"/>
    <w:rsid w:val="00657FC6"/>
    <w:rsid w:val="00675C7F"/>
    <w:rsid w:val="0069104D"/>
    <w:rsid w:val="006E4CEF"/>
    <w:rsid w:val="006E5391"/>
    <w:rsid w:val="006F0468"/>
    <w:rsid w:val="006F5E6A"/>
    <w:rsid w:val="00737C25"/>
    <w:rsid w:val="00742F82"/>
    <w:rsid w:val="0075607F"/>
    <w:rsid w:val="007635E2"/>
    <w:rsid w:val="0076744F"/>
    <w:rsid w:val="007C369D"/>
    <w:rsid w:val="007D1D10"/>
    <w:rsid w:val="007F5896"/>
    <w:rsid w:val="00803ACC"/>
    <w:rsid w:val="00804708"/>
    <w:rsid w:val="0082644A"/>
    <w:rsid w:val="008271EC"/>
    <w:rsid w:val="00841B90"/>
    <w:rsid w:val="00842B73"/>
    <w:rsid w:val="0084626C"/>
    <w:rsid w:val="00852AAD"/>
    <w:rsid w:val="008718C3"/>
    <w:rsid w:val="00891E76"/>
    <w:rsid w:val="00892053"/>
    <w:rsid w:val="00894536"/>
    <w:rsid w:val="008C1BFA"/>
    <w:rsid w:val="00921D5E"/>
    <w:rsid w:val="00924D22"/>
    <w:rsid w:val="00966618"/>
    <w:rsid w:val="00994918"/>
    <w:rsid w:val="009C0E10"/>
    <w:rsid w:val="009C25AE"/>
    <w:rsid w:val="009C6D3D"/>
    <w:rsid w:val="009D0573"/>
    <w:rsid w:val="00A43CC2"/>
    <w:rsid w:val="00A57701"/>
    <w:rsid w:val="00A757F0"/>
    <w:rsid w:val="00A908DA"/>
    <w:rsid w:val="00AA02A6"/>
    <w:rsid w:val="00AA1FE6"/>
    <w:rsid w:val="00AC1EBF"/>
    <w:rsid w:val="00AC218A"/>
    <w:rsid w:val="00AE42BE"/>
    <w:rsid w:val="00B0711B"/>
    <w:rsid w:val="00B52E99"/>
    <w:rsid w:val="00B53D46"/>
    <w:rsid w:val="00B91E16"/>
    <w:rsid w:val="00BA4FBB"/>
    <w:rsid w:val="00C06F17"/>
    <w:rsid w:val="00C16B3E"/>
    <w:rsid w:val="00C40269"/>
    <w:rsid w:val="00C654E6"/>
    <w:rsid w:val="00C86A29"/>
    <w:rsid w:val="00C92149"/>
    <w:rsid w:val="00CF0A95"/>
    <w:rsid w:val="00D80B5D"/>
    <w:rsid w:val="00DA544F"/>
    <w:rsid w:val="00E1337A"/>
    <w:rsid w:val="00E2080D"/>
    <w:rsid w:val="00E21FEE"/>
    <w:rsid w:val="00E24EF3"/>
    <w:rsid w:val="00E32C20"/>
    <w:rsid w:val="00E504D7"/>
    <w:rsid w:val="00E52B19"/>
    <w:rsid w:val="00E86CF6"/>
    <w:rsid w:val="00EE7D52"/>
    <w:rsid w:val="00F01CE2"/>
    <w:rsid w:val="00F01DD2"/>
    <w:rsid w:val="00F81A21"/>
    <w:rsid w:val="00F82089"/>
    <w:rsid w:val="00F83489"/>
    <w:rsid w:val="00F8423E"/>
    <w:rsid w:val="00FC5D15"/>
    <w:rsid w:val="00FD5E6A"/>
    <w:rsid w:val="00FE380A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EB914135.dotm</Template>
  <TotalTime>0</TotalTime>
  <Pages>1</Pages>
  <Words>760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Inhaltsfeld 3 Genetik im Grundkurs und Leistungskurs</vt:lpstr>
    </vt:vector>
  </TitlesOfParts>
  <Company>MSW NRW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Inhaltsfeld 3 Genetik im Grundkurs und Leistungskurs</dc:title>
  <dc:subject>Inhaltsfeld Genetik, Leistungskurs, Grundkurs, Biologie</dc:subject>
  <dc:creator>QUA-LiS NRW</dc:creator>
  <cp:keywords>Genetik, Biologie, Inhaltsfelder; Leistungskurs, Grundkurs, Übersicht</cp:keywords>
  <cp:lastModifiedBy>Walory, Michael</cp:lastModifiedBy>
  <cp:revision>2</cp:revision>
  <cp:lastPrinted>2018-04-11T06:24:00Z</cp:lastPrinted>
  <dcterms:created xsi:type="dcterms:W3CDTF">2019-04-24T07:28:00Z</dcterms:created>
  <dcterms:modified xsi:type="dcterms:W3CDTF">2019-04-24T07:28:00Z</dcterms:modified>
</cp:coreProperties>
</file>