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9C7B2" w14:textId="02DE6D62" w:rsidR="00F40DB1" w:rsidRPr="00330D88" w:rsidRDefault="008361C1">
      <w:pPr>
        <w:rPr>
          <w:i/>
          <w:lang w:val="pt-PT"/>
        </w:rPr>
      </w:pPr>
      <w:r w:rsidRPr="00330D88">
        <w:rPr>
          <w:b/>
          <w:lang w:val="pt-PT"/>
        </w:rPr>
        <w:t>Klasse 9, 2. Halbjahr</w:t>
      </w:r>
      <w:r w:rsidRPr="00330D88">
        <w:rPr>
          <w:i/>
          <w:lang w:val="pt-PT"/>
        </w:rPr>
        <w:t xml:space="preserve"> </w:t>
      </w:r>
      <w:r w:rsidR="009E12E9">
        <w:rPr>
          <w:b/>
          <w:lang w:val="pt-PT"/>
        </w:rPr>
        <w:t>(3. F</w:t>
      </w:r>
      <w:bookmarkStart w:id="0" w:name="_GoBack"/>
      <w:bookmarkEnd w:id="0"/>
      <w:r w:rsidR="009E12E9">
        <w:rPr>
          <w:b/>
          <w:lang w:val="pt-PT"/>
        </w:rPr>
        <w:t>S)</w:t>
      </w:r>
      <w:r w:rsidR="009E12E9">
        <w:rPr>
          <w:b/>
          <w:lang w:val="pt-PT"/>
        </w:rPr>
        <w:t xml:space="preserve"> </w:t>
      </w:r>
      <w:r w:rsidRPr="00330D88">
        <w:rPr>
          <w:i/>
          <w:lang w:val="pt-PT"/>
        </w:rPr>
        <w:t>O que fazer com os amigos?</w:t>
      </w:r>
    </w:p>
    <w:tbl>
      <w:tblPr>
        <w:tblStyle w:val="a"/>
        <w:tblW w:w="142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3"/>
        <w:gridCol w:w="1833"/>
        <w:gridCol w:w="367"/>
        <w:gridCol w:w="368"/>
        <w:gridCol w:w="892"/>
        <w:gridCol w:w="2230"/>
        <w:gridCol w:w="107"/>
        <w:gridCol w:w="810"/>
        <w:gridCol w:w="1729"/>
        <w:gridCol w:w="3075"/>
      </w:tblGrid>
      <w:tr w:rsidR="00F40DB1" w14:paraId="4B8B2511" w14:textId="77777777">
        <w:trPr>
          <w:trHeight w:val="531"/>
        </w:trPr>
        <w:tc>
          <w:tcPr>
            <w:tcW w:w="142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EB4CF" w14:textId="77777777" w:rsidR="00F40DB1" w:rsidRDefault="008361C1">
            <w:pPr>
              <w:ind w:left="743"/>
              <w:jc w:val="center"/>
              <w:rPr>
                <w:b/>
                <w:color w:val="993300"/>
                <w:sz w:val="28"/>
                <w:szCs w:val="28"/>
              </w:rPr>
            </w:pPr>
            <w:r>
              <w:rPr>
                <w:b/>
                <w:color w:val="993300"/>
                <w:sz w:val="28"/>
                <w:szCs w:val="28"/>
              </w:rPr>
              <w:t>Interkulturelle kommunikative Kompetenz</w:t>
            </w:r>
          </w:p>
        </w:tc>
      </w:tr>
      <w:tr w:rsidR="00F40DB1" w14:paraId="64834E94" w14:textId="77777777" w:rsidTr="00330D88">
        <w:trPr>
          <w:trHeight w:val="2000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19DC09" w14:textId="77777777" w:rsidR="00F40DB1" w:rsidRDefault="008361C1" w:rsidP="00330D88">
            <w:pPr>
              <w:ind w:left="743" w:hanging="74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Soziokulturelles Orientierungswissen</w:t>
            </w:r>
          </w:p>
          <w:p w14:paraId="5F1B1D75" w14:textId="77777777" w:rsidR="00F40DB1" w:rsidRDefault="00836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Cs w:val="24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Einblicke in die Lebenswirklichkeit von Jugendlichen in Portugal und Brasilien: gesellschaftliches Leben, Feste, Traditionen</w:t>
            </w:r>
          </w:p>
          <w:p w14:paraId="2E4609B1" w14:textId="77777777" w:rsidR="00F40DB1" w:rsidRPr="00330D88" w:rsidRDefault="008361C1" w:rsidP="00330D88">
            <w:pPr>
              <w:numPr>
                <w:ilvl w:val="0"/>
                <w:numId w:val="3"/>
              </w:numPr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gesellschaftliches Leben, Feste, Traditionen, jugendgemäße, aktuelle kulturelle Ereignisse, Freundschaft/Partnerschaft, Freizeitgestaltung (u.a. </w:t>
            </w:r>
            <w:r w:rsidR="00B111E3">
              <w:rPr>
                <w:sz w:val="18"/>
                <w:szCs w:val="18"/>
              </w:rPr>
              <w:t>Lieblingsbeschäftigungen, Pläne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E8C43" w14:textId="77777777" w:rsidR="00F40DB1" w:rsidRDefault="008361C1" w:rsidP="00330D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Interkulturelle Einstellungen und Bewusstheit</w:t>
            </w:r>
          </w:p>
          <w:p w14:paraId="0D87D2B1" w14:textId="77777777" w:rsidR="00F40DB1" w:rsidRDefault="008361C1" w:rsidP="00330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Cs w:val="24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die gewonnenen kulturspezifischen Einblicke in die </w:t>
            </w:r>
            <w:proofErr w:type="spellStart"/>
            <w:r>
              <w:rPr>
                <w:rFonts w:eastAsia="Arial" w:cs="Arial"/>
                <w:color w:val="000000"/>
                <w:sz w:val="18"/>
                <w:szCs w:val="18"/>
              </w:rPr>
              <w:t>portugiesischsprachige</w:t>
            </w:r>
            <w:proofErr w:type="spellEnd"/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Lebenswelt mit der eigenen Lebenswirklichkeit vergleichen, Gemeinsamkeiten entdecken, Stereotype und Unterschiede hinterfragen, einen Perspektivwechsel vollziehen und ein differenzierteres interkulturelles Verständnis entwickeln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EAA7671" w14:textId="77777777" w:rsidR="00F40DB1" w:rsidRDefault="008361C1" w:rsidP="00330D88">
            <w:pPr>
              <w:ind w:left="743" w:hanging="74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Interkulturelles Verstehen und Handeln</w:t>
            </w:r>
          </w:p>
          <w:p w14:paraId="5C8E91FC" w14:textId="77777777" w:rsidR="00F40DB1" w:rsidRDefault="008361C1">
            <w:pPr>
              <w:jc w:val="lef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in zielsprachigen Begegnungssituationen kulturspezifischen Konventionen und Besonderheiten respektvoll, tolerant und geschlechtersensibel begegnen, hierzu Stellung beziehen und ihr Handeln in der Regel angemessen darauf einstellen</w:t>
            </w:r>
          </w:p>
        </w:tc>
      </w:tr>
      <w:tr w:rsidR="00F40DB1" w14:paraId="3D19357B" w14:textId="77777777" w:rsidTr="00CC0893">
        <w:trPr>
          <w:trHeight w:val="499"/>
        </w:trPr>
        <w:tc>
          <w:tcPr>
            <w:tcW w:w="14254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6A8266" w14:textId="77777777" w:rsidR="00F40DB1" w:rsidRDefault="008361C1">
            <w:pPr>
              <w:ind w:left="743"/>
              <w:jc w:val="center"/>
              <w:rPr>
                <w:b/>
                <w:color w:val="993300"/>
                <w:sz w:val="28"/>
                <w:szCs w:val="28"/>
              </w:rPr>
            </w:pPr>
            <w:r>
              <w:rPr>
                <w:b/>
                <w:color w:val="993300"/>
                <w:sz w:val="28"/>
                <w:szCs w:val="28"/>
              </w:rPr>
              <w:t>Funktionale kommunikative Kompetenz</w:t>
            </w:r>
          </w:p>
        </w:tc>
      </w:tr>
      <w:tr w:rsidR="00F40DB1" w14:paraId="7977921C" w14:textId="77777777" w:rsidTr="00CC0893">
        <w:trPr>
          <w:trHeight w:val="2213"/>
        </w:trPr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B2592E4" w14:textId="77777777" w:rsidR="00F40DB1" w:rsidRDefault="008361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Hör-/Hörsehverstehen</w:t>
            </w:r>
          </w:p>
          <w:p w14:paraId="3B80FB30" w14:textId="5780183F" w:rsidR="00F40DB1" w:rsidRPr="00330D88" w:rsidRDefault="008361C1" w:rsidP="00330D88">
            <w:pPr>
              <w:numPr>
                <w:ilvl w:val="0"/>
                <w:numId w:val="7"/>
              </w:numPr>
              <w:ind w:left="158" w:hanging="158"/>
              <w:jc w:val="left"/>
              <w:rPr>
                <w:sz w:val="18"/>
                <w:szCs w:val="18"/>
              </w:rPr>
            </w:pPr>
            <w:r w:rsidRPr="00330D88">
              <w:rPr>
                <w:sz w:val="18"/>
                <w:szCs w:val="18"/>
              </w:rPr>
              <w:t>der mündlichen Kommunikation im Unterricht folgen</w:t>
            </w:r>
          </w:p>
          <w:p w14:paraId="5E31296B" w14:textId="77777777" w:rsidR="00F40DB1" w:rsidRDefault="008361C1" w:rsidP="00330D88">
            <w:pPr>
              <w:numPr>
                <w:ilvl w:val="0"/>
                <w:numId w:val="7"/>
              </w:numPr>
              <w:ind w:left="158" w:hanging="158"/>
              <w:jc w:val="left"/>
            </w:pPr>
            <w:r w:rsidRPr="00330D88">
              <w:rPr>
                <w:sz w:val="18"/>
                <w:szCs w:val="18"/>
              </w:rPr>
              <w:t>auditiv und audiovisuell vermittelten Texten die Gesamtaussage, Hauptaussagen und Einzelinformationen entnehmen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6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EC491" w14:textId="77777777" w:rsidR="00F40DB1" w:rsidRDefault="008361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Leseverstehen</w:t>
            </w:r>
          </w:p>
          <w:p w14:paraId="191D595E" w14:textId="65C00AFD" w:rsidR="00F40DB1" w:rsidRDefault="00330D88" w:rsidP="00482BBE">
            <w:pPr>
              <w:numPr>
                <w:ilvl w:val="0"/>
                <w:numId w:val="7"/>
              </w:numPr>
              <w:ind w:left="195" w:hanging="158"/>
              <w:jc w:val="left"/>
            </w:pPr>
            <w:r w:rsidRPr="00CC0893">
              <w:rPr>
                <w:sz w:val="18"/>
                <w:szCs w:val="18"/>
              </w:rPr>
              <w:t xml:space="preserve"> </w:t>
            </w:r>
            <w:r w:rsidR="008361C1" w:rsidRPr="00CC0893">
              <w:rPr>
                <w:sz w:val="18"/>
                <w:szCs w:val="18"/>
              </w:rPr>
              <w:t>klar strukturierten Lesetexten</w:t>
            </w:r>
            <w:r w:rsidR="00CC0893" w:rsidRPr="00CC0893">
              <w:rPr>
                <w:sz w:val="18"/>
                <w:szCs w:val="18"/>
              </w:rPr>
              <w:t xml:space="preserve"> </w:t>
            </w:r>
            <w:r w:rsidR="008361C1" w:rsidRPr="00CC0893">
              <w:rPr>
                <w:color w:val="000000"/>
                <w:sz w:val="18"/>
                <w:szCs w:val="18"/>
              </w:rPr>
              <w:t xml:space="preserve">zur Freizeitgestaltung </w:t>
            </w:r>
            <w:r w:rsidR="008361C1" w:rsidRPr="00CC0893">
              <w:rPr>
                <w:sz w:val="18"/>
                <w:szCs w:val="18"/>
              </w:rPr>
              <w:t>Hauptaussagen, leicht zugängliche inhaltliche Details und thematische Aspekte entnehmen und diese in den Kontext der Gesamtaussage einordnen</w:t>
            </w:r>
          </w:p>
          <w:p w14:paraId="15FA29A4" w14:textId="77777777" w:rsidR="00F40DB1" w:rsidRDefault="00F40D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C3EC9" w14:textId="77777777" w:rsidR="00F40DB1" w:rsidRDefault="008361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Sprechen</w:t>
            </w:r>
          </w:p>
          <w:p w14:paraId="0BA1866E" w14:textId="77777777" w:rsidR="00F40DB1" w:rsidRDefault="008361C1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(an Gesprächen teilnehmen)</w:t>
            </w:r>
          </w:p>
          <w:p w14:paraId="4EAEE288" w14:textId="77777777" w:rsidR="00F40DB1" w:rsidRPr="00330D88" w:rsidRDefault="008361C1" w:rsidP="00330D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  <w:jc w:val="left"/>
              <w:rPr>
                <w:sz w:val="18"/>
                <w:szCs w:val="18"/>
              </w:rPr>
            </w:pPr>
            <w:bookmarkStart w:id="1" w:name="_heading=h.gjdgxs" w:colFirst="0" w:colLast="0"/>
            <w:bookmarkEnd w:id="1"/>
            <w:r w:rsidRPr="00330D88">
              <w:rPr>
                <w:sz w:val="18"/>
                <w:szCs w:val="18"/>
              </w:rPr>
              <w:t>eigene Interessen im Hinblick auf die eigene Freizeitgestaltung benennen und begründen</w:t>
            </w:r>
            <w:r w:rsidR="002B6067">
              <w:rPr>
                <w:sz w:val="18"/>
                <w:szCs w:val="18"/>
              </w:rPr>
              <w:t xml:space="preserve"> (Absichten, Vorlieben und Ablehnung formulieren)</w:t>
            </w:r>
          </w:p>
          <w:p w14:paraId="26355A91" w14:textId="77777777" w:rsidR="00F40DB1" w:rsidRDefault="008361C1" w:rsidP="00330D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  <w:jc w:val="left"/>
              <w:rPr>
                <w:rFonts w:eastAsia="Arial" w:cs="Arial"/>
                <w:color w:val="000000"/>
                <w:szCs w:val="24"/>
              </w:rPr>
            </w:pPr>
            <w:r w:rsidRPr="00330D88">
              <w:rPr>
                <w:sz w:val="18"/>
                <w:szCs w:val="18"/>
              </w:rPr>
              <w:t>sich in unterschiedlichen Rollen in informellen, formalisierten sowie digital gestütz</w:t>
            </w:r>
            <w:r w:rsidR="00330D88" w:rsidRPr="00330D88">
              <w:rPr>
                <w:sz w:val="18"/>
                <w:szCs w:val="18"/>
              </w:rPr>
              <w:t>t</w:t>
            </w:r>
            <w:r w:rsidRPr="00330D88">
              <w:rPr>
                <w:sz w:val="18"/>
                <w:szCs w:val="18"/>
              </w:rPr>
              <w:t>en Gesprächssituationen auch spontan an Gesprächen beteiligen (sich verabreden)</w:t>
            </w:r>
          </w:p>
        </w:tc>
        <w:tc>
          <w:tcPr>
            <w:tcW w:w="264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03A60" w14:textId="77777777" w:rsidR="00F40DB1" w:rsidRDefault="008361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Schreiben</w:t>
            </w:r>
          </w:p>
          <w:p w14:paraId="202C5C94" w14:textId="77777777" w:rsidR="00F40DB1" w:rsidRDefault="008361C1">
            <w:pPr>
              <w:numPr>
                <w:ilvl w:val="0"/>
                <w:numId w:val="7"/>
              </w:numPr>
              <w:ind w:left="158" w:hanging="158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verschiedene Formen des produktorientierten, kreativen Schreibens realisieren</w:t>
            </w:r>
            <w:r w:rsidR="00B111E3">
              <w:rPr>
                <w:sz w:val="18"/>
                <w:szCs w:val="18"/>
              </w:rPr>
              <w:t xml:space="preserve"> (z.B. Wochenpläne erstellen, Unternehmungen organisieren</w:t>
            </w:r>
            <w:r w:rsidR="00BC5A01">
              <w:rPr>
                <w:sz w:val="18"/>
                <w:szCs w:val="18"/>
              </w:rPr>
              <w:t>, Interviews verfassen</w:t>
            </w:r>
            <w:r w:rsidR="00B111E3">
              <w:rPr>
                <w:sz w:val="18"/>
                <w:szCs w:val="18"/>
              </w:rPr>
              <w:t xml:space="preserve">) </w:t>
            </w:r>
          </w:p>
          <w:p w14:paraId="60E85C3A" w14:textId="77777777" w:rsidR="00F40DB1" w:rsidRDefault="00F40DB1">
            <w:pPr>
              <w:jc w:val="left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26FB54" w14:textId="77777777" w:rsidR="00F40DB1" w:rsidRDefault="008361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Sprachmittlung</w:t>
            </w:r>
          </w:p>
          <w:p w14:paraId="6B84B2AF" w14:textId="77777777" w:rsidR="00F40DB1" w:rsidRPr="00330D88" w:rsidRDefault="008361C1">
            <w:pPr>
              <w:numPr>
                <w:ilvl w:val="0"/>
                <w:numId w:val="7"/>
              </w:numPr>
              <w:ind w:left="158" w:hanging="158"/>
              <w:jc w:val="left"/>
              <w:rPr>
                <w:sz w:val="18"/>
                <w:szCs w:val="18"/>
              </w:rPr>
            </w:pPr>
            <w:r w:rsidRPr="00330D88">
              <w:rPr>
                <w:sz w:val="18"/>
                <w:szCs w:val="18"/>
              </w:rPr>
              <w:t>die relevanten Aussagen über eine Freizeitgestaltung situationsangemessen in die jeweilige Zielsprache mündlich und schriftlich sinngemäß übertragen</w:t>
            </w:r>
          </w:p>
          <w:p w14:paraId="5CC7D65D" w14:textId="77777777" w:rsidR="00F40DB1" w:rsidRDefault="008361C1">
            <w:pPr>
              <w:numPr>
                <w:ilvl w:val="0"/>
                <w:numId w:val="7"/>
              </w:numPr>
              <w:ind w:left="158" w:hanging="158"/>
              <w:jc w:val="left"/>
              <w:rPr>
                <w:sz w:val="18"/>
                <w:szCs w:val="18"/>
              </w:rPr>
            </w:pPr>
            <w:r w:rsidRPr="00330D88">
              <w:rPr>
                <w:sz w:val="18"/>
                <w:szCs w:val="18"/>
              </w:rPr>
              <w:t>auf der Grundlage ihrer bereits vorhandenen interkulturellen Kompetenz Textinformationen adressatengerecht bündeln und bei Bedarf ergänzen</w:t>
            </w:r>
          </w:p>
        </w:tc>
      </w:tr>
      <w:tr w:rsidR="00F40DB1" w14:paraId="658B5ABB" w14:textId="77777777" w:rsidTr="00CC0893">
        <w:trPr>
          <w:trHeight w:val="2212"/>
        </w:trPr>
        <w:tc>
          <w:tcPr>
            <w:tcW w:w="2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2D44B0" w14:textId="77777777" w:rsidR="00F40DB1" w:rsidRDefault="00F40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B11258" w14:textId="77777777" w:rsidR="00F40DB1" w:rsidRDefault="00F40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197DEE" w14:textId="77777777" w:rsidR="00F40DB1" w:rsidRPr="00330D88" w:rsidRDefault="008361C1" w:rsidP="00330D88">
            <w:pPr>
              <w:rPr>
                <w:b/>
                <w:sz w:val="22"/>
                <w:szCs w:val="22"/>
              </w:rPr>
            </w:pPr>
            <w:r w:rsidRPr="00330D88">
              <w:rPr>
                <w:b/>
                <w:sz w:val="22"/>
                <w:szCs w:val="22"/>
              </w:rPr>
              <w:t>Sprechen</w:t>
            </w:r>
          </w:p>
          <w:p w14:paraId="2300E3A3" w14:textId="77777777" w:rsidR="00F40DB1" w:rsidRPr="00330D88" w:rsidRDefault="008361C1" w:rsidP="00330D88">
            <w:pPr>
              <w:rPr>
                <w:b/>
                <w:sz w:val="18"/>
                <w:szCs w:val="18"/>
              </w:rPr>
            </w:pPr>
            <w:r w:rsidRPr="00330D88">
              <w:rPr>
                <w:b/>
                <w:sz w:val="18"/>
                <w:szCs w:val="18"/>
              </w:rPr>
              <w:t>(zusammenhängendes Sprechen)</w:t>
            </w:r>
          </w:p>
          <w:p w14:paraId="7429A553" w14:textId="77777777" w:rsidR="00F40DB1" w:rsidRPr="00330D88" w:rsidRDefault="008361C1" w:rsidP="00330D88">
            <w:pPr>
              <w:numPr>
                <w:ilvl w:val="0"/>
                <w:numId w:val="7"/>
              </w:numPr>
              <w:ind w:left="158" w:hanging="158"/>
              <w:jc w:val="left"/>
              <w:rPr>
                <w:sz w:val="18"/>
                <w:szCs w:val="18"/>
              </w:rPr>
            </w:pPr>
            <w:r w:rsidRPr="00330D88">
              <w:rPr>
                <w:sz w:val="18"/>
                <w:szCs w:val="18"/>
              </w:rPr>
              <w:t>ihr</w:t>
            </w:r>
            <w:r w:rsidR="002B6067">
              <w:rPr>
                <w:sz w:val="18"/>
                <w:szCs w:val="18"/>
              </w:rPr>
              <w:t>e</w:t>
            </w:r>
            <w:r w:rsidRPr="00330D88">
              <w:rPr>
                <w:sz w:val="18"/>
                <w:szCs w:val="18"/>
              </w:rPr>
              <w:t xml:space="preserve"> Lebenswelt beschreiben und Auskünfte über sich und andere geben</w:t>
            </w:r>
            <w:r w:rsidR="00B111E3">
              <w:rPr>
                <w:sz w:val="18"/>
                <w:szCs w:val="18"/>
              </w:rPr>
              <w:t xml:space="preserve"> </w:t>
            </w:r>
            <w:r w:rsidRPr="00330D88">
              <w:rPr>
                <w:sz w:val="18"/>
                <w:szCs w:val="18"/>
              </w:rPr>
              <w:t xml:space="preserve">  </w:t>
            </w:r>
          </w:p>
          <w:p w14:paraId="7CB85B6F" w14:textId="77777777" w:rsidR="00F40DB1" w:rsidRPr="00330D88" w:rsidRDefault="008361C1" w:rsidP="00330D88">
            <w:pPr>
              <w:numPr>
                <w:ilvl w:val="0"/>
                <w:numId w:val="7"/>
              </w:numPr>
              <w:ind w:left="158" w:hanging="158"/>
              <w:jc w:val="left"/>
              <w:rPr>
                <w:sz w:val="18"/>
                <w:szCs w:val="18"/>
              </w:rPr>
            </w:pPr>
            <w:r w:rsidRPr="00330D88">
              <w:rPr>
                <w:sz w:val="18"/>
                <w:szCs w:val="18"/>
              </w:rPr>
              <w:t>eigene und fremde Meinungen darlegen und konkret begründen</w:t>
            </w:r>
          </w:p>
          <w:p w14:paraId="47989BF2" w14:textId="77777777" w:rsidR="00F40DB1" w:rsidRPr="00330D88" w:rsidRDefault="008361C1" w:rsidP="00330D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  <w:jc w:val="left"/>
              <w:rPr>
                <w:sz w:val="18"/>
                <w:szCs w:val="18"/>
              </w:rPr>
            </w:pPr>
            <w:r w:rsidRPr="00330D88">
              <w:rPr>
                <w:sz w:val="18"/>
                <w:szCs w:val="18"/>
              </w:rPr>
              <w:t>kurze Präsentationen (z.B. über Sportaktivitäten in Portugal und Brasilien), auch digital gestützt, darbieten</w:t>
            </w:r>
          </w:p>
        </w:tc>
        <w:tc>
          <w:tcPr>
            <w:tcW w:w="26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A37F09" w14:textId="77777777" w:rsidR="00F40DB1" w:rsidRDefault="00F40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Arial" w:cs="Arial"/>
                <w:color w:val="FF0000"/>
                <w:szCs w:val="24"/>
              </w:rPr>
            </w:pPr>
          </w:p>
        </w:tc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5A3B" w14:textId="77777777" w:rsidR="00F40DB1" w:rsidRDefault="00F40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Arial" w:cs="Arial"/>
                <w:color w:val="FF0000"/>
                <w:szCs w:val="24"/>
              </w:rPr>
            </w:pPr>
          </w:p>
        </w:tc>
      </w:tr>
      <w:tr w:rsidR="00F40DB1" w14:paraId="3E58797A" w14:textId="77777777" w:rsidTr="00CC0893">
        <w:trPr>
          <w:trHeight w:val="841"/>
        </w:trPr>
        <w:tc>
          <w:tcPr>
            <w:tcW w:w="1425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494D9" w14:textId="77777777" w:rsidR="00F40DB1" w:rsidRDefault="008361C1">
            <w:pPr>
              <w:ind w:left="74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Verfügen über sprachliche Mittel </w:t>
            </w:r>
          </w:p>
          <w:p w14:paraId="4C6F054C" w14:textId="3F5C8561" w:rsidR="00F40DB1" w:rsidRDefault="008361C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Cs w:val="24"/>
              </w:rPr>
            </w:pPr>
            <w:r>
              <w:rPr>
                <w:rFonts w:eastAsia="Arial" w:cs="Arial"/>
                <w:b/>
                <w:color w:val="000000"/>
                <w:sz w:val="20"/>
              </w:rPr>
              <w:t>thematischer Wortschatz</w:t>
            </w:r>
            <w:r>
              <w:rPr>
                <w:rFonts w:eastAsia="Arial" w:cs="Arial"/>
                <w:color w:val="000000"/>
                <w:sz w:val="20"/>
              </w:rPr>
              <w:t>: Freizeit</w:t>
            </w:r>
            <w:r w:rsidR="00330D88">
              <w:rPr>
                <w:rFonts w:eastAsia="Arial" w:cs="Arial"/>
                <w:color w:val="000000"/>
                <w:sz w:val="20"/>
              </w:rPr>
              <w:t xml:space="preserve">aktivitäten, </w:t>
            </w:r>
            <w:r w:rsidR="002B6067">
              <w:rPr>
                <w:rFonts w:eastAsia="Arial" w:cs="Arial"/>
                <w:color w:val="000000"/>
                <w:sz w:val="20"/>
              </w:rPr>
              <w:t xml:space="preserve">Wochentage, Tageszeiten </w:t>
            </w:r>
          </w:p>
          <w:p w14:paraId="5A2B24DA" w14:textId="2BF3935F" w:rsidR="00F40DB1" w:rsidRDefault="008361C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Cs w:val="24"/>
              </w:rPr>
            </w:pPr>
            <w:r>
              <w:rPr>
                <w:rFonts w:eastAsia="Arial" w:cs="Arial"/>
                <w:b/>
                <w:color w:val="000000"/>
                <w:sz w:val="20"/>
              </w:rPr>
              <w:t>grammatische Strukturen:</w:t>
            </w:r>
            <w:r>
              <w:rPr>
                <w:rFonts w:eastAsia="Arial" w:cs="Arial"/>
                <w:color w:val="000000"/>
                <w:sz w:val="20"/>
              </w:rPr>
              <w:t xml:space="preserve"> weitere grundlegende </w:t>
            </w:r>
            <w:proofErr w:type="spellStart"/>
            <w:r>
              <w:rPr>
                <w:rFonts w:eastAsia="Arial" w:cs="Arial"/>
                <w:color w:val="000000"/>
                <w:sz w:val="20"/>
              </w:rPr>
              <w:t>Tempusformen</w:t>
            </w:r>
            <w:proofErr w:type="spellEnd"/>
            <w:r>
              <w:rPr>
                <w:rFonts w:eastAsia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Arial" w:cs="Arial"/>
                <w:i/>
                <w:color w:val="000000"/>
                <w:sz w:val="20"/>
              </w:rPr>
              <w:t>presente</w:t>
            </w:r>
            <w:proofErr w:type="spellEnd"/>
            <w:r>
              <w:rPr>
                <w:rFonts w:eastAsia="Arial" w:cs="Arial"/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Arial" w:cs="Arial"/>
                <w:i/>
                <w:color w:val="000000"/>
                <w:sz w:val="20"/>
              </w:rPr>
              <w:t>perifrástico</w:t>
            </w:r>
            <w:proofErr w:type="spellEnd"/>
            <w:r>
              <w:rPr>
                <w:rFonts w:eastAsia="Arial" w:cs="Arial"/>
                <w:i/>
                <w:color w:val="000000"/>
                <w:sz w:val="20"/>
              </w:rPr>
              <w:t xml:space="preserve">, </w:t>
            </w:r>
            <w:r>
              <w:rPr>
                <w:rFonts w:eastAsia="Arial" w:cs="Arial"/>
                <w:color w:val="000000"/>
                <w:sz w:val="20"/>
              </w:rPr>
              <w:t xml:space="preserve">modale Hilfsverben </w:t>
            </w:r>
            <w:r>
              <w:rPr>
                <w:rFonts w:eastAsia="Arial" w:cs="Arial"/>
                <w:i/>
                <w:color w:val="000000"/>
                <w:sz w:val="20"/>
              </w:rPr>
              <w:t xml:space="preserve">querer e </w:t>
            </w:r>
            <w:proofErr w:type="spellStart"/>
            <w:r>
              <w:rPr>
                <w:rFonts w:eastAsia="Arial" w:cs="Arial"/>
                <w:i/>
                <w:color w:val="000000"/>
                <w:sz w:val="20"/>
              </w:rPr>
              <w:t>poder</w:t>
            </w:r>
            <w:proofErr w:type="spellEnd"/>
            <w:r>
              <w:rPr>
                <w:rFonts w:eastAsia="Arial" w:cs="Arial"/>
                <w:i/>
                <w:color w:val="000000"/>
                <w:sz w:val="20"/>
              </w:rPr>
              <w:t xml:space="preserve">, </w:t>
            </w:r>
            <w:r>
              <w:rPr>
                <w:rFonts w:eastAsia="Arial" w:cs="Arial"/>
                <w:color w:val="000000"/>
                <w:sz w:val="20"/>
              </w:rPr>
              <w:t>Zeitadverbien, reflexive Verben, Satzstrukturen mit adverbialen Ergänzungen</w:t>
            </w:r>
            <w:r w:rsidR="00CC0893">
              <w:rPr>
                <w:rFonts w:eastAsia="Arial" w:cs="Arial"/>
                <w:color w:val="000000"/>
                <w:sz w:val="20"/>
              </w:rPr>
              <w:t>,</w:t>
            </w:r>
            <w:r>
              <w:rPr>
                <w:rFonts w:eastAsia="Arial" w:cs="Arial"/>
                <w:color w:val="000000"/>
                <w:sz w:val="20"/>
              </w:rPr>
              <w:t xml:space="preserve"> u.a. </w:t>
            </w:r>
            <w:proofErr w:type="spellStart"/>
            <w:r>
              <w:rPr>
                <w:rFonts w:eastAsia="Arial" w:cs="Arial"/>
                <w:i/>
                <w:color w:val="000000"/>
                <w:sz w:val="20"/>
              </w:rPr>
              <w:t>porque</w:t>
            </w:r>
            <w:proofErr w:type="spellEnd"/>
            <w:r>
              <w:rPr>
                <w:rFonts w:eastAsia="Arial" w:cs="Arial"/>
                <w:color w:val="000000"/>
                <w:sz w:val="20"/>
              </w:rPr>
              <w:t xml:space="preserve">-Satz </w:t>
            </w:r>
          </w:p>
          <w:p w14:paraId="44319CC8" w14:textId="4A261BFE" w:rsidR="00F40DB1" w:rsidRDefault="008361C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Cs w:val="24"/>
              </w:rPr>
            </w:pPr>
            <w:r>
              <w:rPr>
                <w:rFonts w:eastAsia="Arial" w:cs="Arial"/>
                <w:b/>
                <w:color w:val="000000"/>
                <w:sz w:val="20"/>
              </w:rPr>
              <w:t>Aussprache/Intonation:</w:t>
            </w:r>
            <w:r>
              <w:rPr>
                <w:rFonts w:eastAsia="Arial" w:cs="Arial"/>
                <w:color w:val="000000"/>
                <w:sz w:val="20"/>
              </w:rPr>
              <w:t xml:space="preserve"> </w:t>
            </w:r>
            <w:r w:rsidR="00751C09">
              <w:rPr>
                <w:rFonts w:eastAsia="Arial" w:cs="Arial"/>
                <w:color w:val="000000"/>
                <w:sz w:val="20"/>
              </w:rPr>
              <w:t xml:space="preserve">in </w:t>
            </w:r>
            <w:r>
              <w:rPr>
                <w:rFonts w:eastAsia="Arial" w:cs="Arial"/>
                <w:color w:val="000000"/>
                <w:sz w:val="20"/>
              </w:rPr>
              <w:t xml:space="preserve">sprachlich klar strukturierten Gesprächssituationen und in Redebeiträgen Aussprache und Intonation angemessen anwenden. </w:t>
            </w:r>
            <w:r w:rsidRPr="00C25B04">
              <w:rPr>
                <w:rFonts w:eastAsia="Arial" w:cs="Arial"/>
                <w:color w:val="000000"/>
                <w:sz w:val="20"/>
              </w:rPr>
              <w:t>In der Regel korrekte Aussprache der portugiesischen Phoneme, in der Regel korrekte phonetische Umsetzung der Betonungsregeln, in der Regel Anwendung des portugiesi</w:t>
            </w:r>
            <w:r w:rsidR="002B6067" w:rsidRPr="00C25B04">
              <w:rPr>
                <w:rFonts w:eastAsia="Arial" w:cs="Arial"/>
                <w:color w:val="000000"/>
                <w:sz w:val="20"/>
              </w:rPr>
              <w:t>s</w:t>
            </w:r>
            <w:r w:rsidRPr="00C25B04">
              <w:rPr>
                <w:rFonts w:eastAsia="Arial" w:cs="Arial"/>
                <w:color w:val="000000"/>
                <w:sz w:val="20"/>
              </w:rPr>
              <w:t>chen Aussprachemusters in Abgrenzung zu anderen romanischen Sprachen</w:t>
            </w:r>
          </w:p>
        </w:tc>
      </w:tr>
      <w:tr w:rsidR="00F40DB1" w14:paraId="0D3610FB" w14:textId="77777777">
        <w:trPr>
          <w:trHeight w:val="457"/>
        </w:trPr>
        <w:tc>
          <w:tcPr>
            <w:tcW w:w="5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0879" w14:textId="77777777" w:rsidR="00F40DB1" w:rsidRDefault="008361C1">
            <w:pPr>
              <w:jc w:val="center"/>
              <w:rPr>
                <w:b/>
                <w:color w:val="993300"/>
                <w:sz w:val="28"/>
                <w:szCs w:val="28"/>
              </w:rPr>
            </w:pPr>
            <w:r>
              <w:rPr>
                <w:b/>
                <w:color w:val="993300"/>
                <w:sz w:val="28"/>
                <w:szCs w:val="28"/>
              </w:rPr>
              <w:t>Sprachlernkompetenz</w:t>
            </w:r>
          </w:p>
        </w:tc>
        <w:tc>
          <w:tcPr>
            <w:tcW w:w="35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E06EAEB" w14:textId="77777777" w:rsidR="00F40DB1" w:rsidRDefault="008361C1">
            <w:pPr>
              <w:jc w:val="center"/>
              <w:rPr>
                <w:b/>
              </w:rPr>
            </w:pPr>
            <w:r>
              <w:rPr>
                <w:b/>
              </w:rPr>
              <w:t>Klasse 9</w:t>
            </w:r>
          </w:p>
          <w:p w14:paraId="0A6EEE80" w14:textId="77777777" w:rsidR="00F40DB1" w:rsidRDefault="00836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eastAsia="Arial" w:cs="Arial"/>
                <w:b/>
                <w:color w:val="000000"/>
                <w:szCs w:val="24"/>
              </w:rPr>
            </w:pPr>
            <w:r>
              <w:rPr>
                <w:rFonts w:eastAsia="Arial" w:cs="Arial"/>
                <w:b/>
                <w:color w:val="000000"/>
                <w:szCs w:val="24"/>
              </w:rPr>
              <w:t>2. Halbjahr</w:t>
            </w:r>
          </w:p>
          <w:p w14:paraId="5CC04FA8" w14:textId="77777777" w:rsidR="00F40DB1" w:rsidRDefault="008361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angestrebter Kompetenzstand am Ende der Stufe: </w:t>
            </w:r>
            <w:r w:rsidR="005B15C9" w:rsidRPr="00722278">
              <w:rPr>
                <w:b/>
                <w:sz w:val="20"/>
                <w:szCs w:val="22"/>
              </w:rPr>
              <w:t>A2</w:t>
            </w:r>
            <w:r w:rsidR="005B15C9">
              <w:rPr>
                <w:b/>
                <w:sz w:val="20"/>
                <w:szCs w:val="22"/>
              </w:rPr>
              <w:t>/B1</w:t>
            </w:r>
          </w:p>
          <w:p w14:paraId="58BCD1D9" w14:textId="77777777" w:rsidR="00F40DB1" w:rsidRDefault="00F40DB1">
            <w:pPr>
              <w:jc w:val="center"/>
              <w:rPr>
                <w:b/>
              </w:rPr>
            </w:pPr>
          </w:p>
          <w:p w14:paraId="5ECB484C" w14:textId="77777777" w:rsidR="00F40DB1" w:rsidRPr="00330D88" w:rsidRDefault="008361C1">
            <w:pPr>
              <w:jc w:val="center"/>
              <w:rPr>
                <w:b/>
                <w:lang w:val="pt-PT"/>
              </w:rPr>
            </w:pPr>
            <w:r w:rsidRPr="00330D88">
              <w:rPr>
                <w:b/>
                <w:lang w:val="pt-PT"/>
              </w:rPr>
              <w:t>Thema:</w:t>
            </w:r>
          </w:p>
          <w:p w14:paraId="37A17CFA" w14:textId="77777777" w:rsidR="00F40DB1" w:rsidRPr="00330D88" w:rsidRDefault="00F40DB1">
            <w:pPr>
              <w:rPr>
                <w:b/>
                <w:lang w:val="pt-PT"/>
              </w:rPr>
            </w:pPr>
          </w:p>
          <w:p w14:paraId="494455D7" w14:textId="77777777" w:rsidR="00F40DB1" w:rsidRPr="00330D88" w:rsidRDefault="008361C1">
            <w:pPr>
              <w:jc w:val="center"/>
              <w:rPr>
                <w:b/>
                <w:i/>
                <w:lang w:val="pt-PT"/>
              </w:rPr>
            </w:pPr>
            <w:r w:rsidRPr="00330D88">
              <w:rPr>
                <w:b/>
                <w:i/>
                <w:lang w:val="pt-PT"/>
              </w:rPr>
              <w:t>O que fazer com os amigos?</w:t>
            </w:r>
          </w:p>
          <w:p w14:paraId="5D9DFCD5" w14:textId="77777777" w:rsidR="00F40DB1" w:rsidRPr="00330D88" w:rsidRDefault="00F40DB1">
            <w:pPr>
              <w:jc w:val="center"/>
              <w:rPr>
                <w:b/>
                <w:sz w:val="22"/>
                <w:szCs w:val="22"/>
                <w:lang w:val="pt-PT"/>
              </w:rPr>
            </w:pPr>
          </w:p>
          <w:p w14:paraId="10F96E85" w14:textId="77777777" w:rsidR="00F40DB1" w:rsidRDefault="008361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Gesamtstundenkontingent:</w:t>
            </w:r>
          </w:p>
          <w:p w14:paraId="4C119073" w14:textId="77777777" w:rsidR="00F40DB1" w:rsidRDefault="008361C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ca. 25 Std. </w:t>
            </w:r>
          </w:p>
        </w:tc>
        <w:tc>
          <w:tcPr>
            <w:tcW w:w="5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F6517" w14:textId="77777777" w:rsidR="00F40DB1" w:rsidRDefault="008361C1">
            <w:pPr>
              <w:jc w:val="center"/>
              <w:rPr>
                <w:b/>
                <w:color w:val="993300"/>
                <w:sz w:val="28"/>
                <w:szCs w:val="28"/>
              </w:rPr>
            </w:pPr>
            <w:r>
              <w:rPr>
                <w:b/>
                <w:color w:val="993300"/>
                <w:sz w:val="28"/>
                <w:szCs w:val="28"/>
              </w:rPr>
              <w:t>Sprachbewusstheit</w:t>
            </w:r>
          </w:p>
        </w:tc>
      </w:tr>
      <w:tr w:rsidR="00F40DB1" w14:paraId="47366E67" w14:textId="77777777">
        <w:trPr>
          <w:trHeight w:val="1102"/>
        </w:trPr>
        <w:tc>
          <w:tcPr>
            <w:tcW w:w="5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616B1" w14:textId="77777777" w:rsidR="00F40DB1" w:rsidRDefault="00F40DB1">
            <w:pPr>
              <w:jc w:val="left"/>
              <w:rPr>
                <w:sz w:val="20"/>
              </w:rPr>
            </w:pPr>
          </w:p>
          <w:p w14:paraId="2C117645" w14:textId="77777777" w:rsidR="00F40DB1" w:rsidRDefault="008361C1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grundlegende Lernstrategien zur systematischen Aneignung, Erweiterung und selbstständigen Verwendung des eigenen Wortschatzes sowie grammatischer und syntaktischer Strukturen</w:t>
            </w:r>
          </w:p>
          <w:p w14:paraId="34F2F32F" w14:textId="77777777" w:rsidR="00F40DB1" w:rsidRDefault="00F40DB1">
            <w:pPr>
              <w:rPr>
                <w:sz w:val="20"/>
              </w:rPr>
            </w:pPr>
          </w:p>
          <w:p w14:paraId="67681BCD" w14:textId="77777777" w:rsidR="00F40DB1" w:rsidRDefault="008361C1">
            <w:pPr>
              <w:numPr>
                <w:ilvl w:val="0"/>
                <w:numId w:val="1"/>
              </w:numPr>
              <w:jc w:val="left"/>
              <w:rPr>
                <w:rFonts w:eastAsia="Arial" w:cs="Arial"/>
                <w:sz w:val="20"/>
              </w:rPr>
            </w:pPr>
            <w:r>
              <w:rPr>
                <w:sz w:val="20"/>
              </w:rPr>
              <w:t xml:space="preserve">Strategien zum produktiven Umgang mit Feedback und erkannten Fehlerschwerpunkten </w:t>
            </w:r>
          </w:p>
        </w:tc>
        <w:tc>
          <w:tcPr>
            <w:tcW w:w="359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FFF7D7D" w14:textId="77777777" w:rsidR="00F40DB1" w:rsidRDefault="00F40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Arial" w:cs="Arial"/>
                <w:sz w:val="20"/>
              </w:rPr>
            </w:pPr>
          </w:p>
        </w:tc>
        <w:tc>
          <w:tcPr>
            <w:tcW w:w="5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DDB1C" w14:textId="77777777" w:rsidR="00F40DB1" w:rsidRDefault="008361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>grundlegende sprachliche Regelmäßigkeiten, unterschiedliche Register und Normabweichungen des Sprachgebrauchs benennen</w:t>
            </w:r>
          </w:p>
          <w:p w14:paraId="224B8B94" w14:textId="77777777" w:rsidR="00F40DB1" w:rsidRDefault="00F40DB1" w:rsidP="005E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sz w:val="22"/>
                <w:szCs w:val="22"/>
              </w:rPr>
            </w:pPr>
          </w:p>
        </w:tc>
      </w:tr>
      <w:tr w:rsidR="00F40DB1" w14:paraId="52D210E3" w14:textId="77777777">
        <w:trPr>
          <w:trHeight w:val="644"/>
        </w:trPr>
        <w:tc>
          <w:tcPr>
            <w:tcW w:w="142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643C2" w14:textId="77777777" w:rsidR="00F40DB1" w:rsidRDefault="008361C1">
            <w:pPr>
              <w:jc w:val="center"/>
              <w:rPr>
                <w:b/>
                <w:color w:val="993300"/>
                <w:sz w:val="28"/>
                <w:szCs w:val="28"/>
              </w:rPr>
            </w:pPr>
            <w:r>
              <w:rPr>
                <w:b/>
                <w:color w:val="993300"/>
                <w:sz w:val="28"/>
                <w:szCs w:val="28"/>
              </w:rPr>
              <w:t>Text- und Medienkompetenz</w:t>
            </w:r>
          </w:p>
        </w:tc>
      </w:tr>
      <w:tr w:rsidR="00F40DB1" w14:paraId="70AEBED4" w14:textId="77777777">
        <w:trPr>
          <w:trHeight w:val="499"/>
        </w:trPr>
        <w:tc>
          <w:tcPr>
            <w:tcW w:w="142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EC322" w14:textId="77777777" w:rsidR="00F40DB1" w:rsidRDefault="008361C1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adaptierte/</w:t>
            </w:r>
            <w:proofErr w:type="spellStart"/>
            <w:r>
              <w:rPr>
                <w:sz w:val="20"/>
              </w:rPr>
              <w:t>didaktisierte</w:t>
            </w:r>
            <w:proofErr w:type="spellEnd"/>
            <w:r>
              <w:rPr>
                <w:sz w:val="20"/>
              </w:rPr>
              <w:t xml:space="preserve"> sowie klar strukturierte authentische Texte, Lesetexte, Hör- und Hörsehtexte, Hypertexte, mehrfach kodierte Texte:</w:t>
            </w:r>
          </w:p>
          <w:p w14:paraId="7FF0D40D" w14:textId="77777777" w:rsidR="00F40DB1" w:rsidRDefault="008361C1">
            <w:pPr>
              <w:numPr>
                <w:ilvl w:val="1"/>
                <w:numId w:val="2"/>
              </w:numPr>
              <w:rPr>
                <w:rFonts w:eastAsia="Arial" w:cs="Arial"/>
                <w:sz w:val="20"/>
              </w:rPr>
            </w:pPr>
            <w:r>
              <w:rPr>
                <w:sz w:val="20"/>
              </w:rPr>
              <w:t>Ausgangstexte: (persönliche) Nachrichten und Berichte, Werbe- und Informationstexte, u.a. aus dem öffentlichen Raum (z.B. Kulturagenda Lissabon, Prospekte,</w:t>
            </w:r>
            <w:r w:rsidR="00422419">
              <w:rPr>
                <w:sz w:val="20"/>
              </w:rPr>
              <w:t xml:space="preserve"> Bildmedien, Videoclip</w:t>
            </w:r>
            <w:r w:rsidR="00EF2C43">
              <w:rPr>
                <w:sz w:val="20"/>
              </w:rPr>
              <w:t>s</w:t>
            </w:r>
            <w:r>
              <w:rPr>
                <w:sz w:val="20"/>
              </w:rPr>
              <w:t>)</w:t>
            </w:r>
          </w:p>
          <w:p w14:paraId="5503FBB8" w14:textId="77777777" w:rsidR="00F40DB1" w:rsidRDefault="008361C1">
            <w:pPr>
              <w:numPr>
                <w:ilvl w:val="1"/>
                <w:numId w:val="2"/>
              </w:numPr>
              <w:rPr>
                <w:rFonts w:eastAsia="Arial" w:cs="Arial"/>
                <w:sz w:val="20"/>
              </w:rPr>
            </w:pPr>
            <w:r>
              <w:rPr>
                <w:sz w:val="20"/>
              </w:rPr>
              <w:t>Zieltexte: Dialoge, kurze Stellungnahmen, (persönliche) Nachrichten, kurze Vorträge (z.B. mit Hilfe von digitalen Präsentationswerkzeugen)</w:t>
            </w:r>
          </w:p>
          <w:p w14:paraId="14DCAB92" w14:textId="77777777" w:rsidR="00F40DB1" w:rsidRDefault="00F40DB1">
            <w:pPr>
              <w:ind w:left="1080"/>
              <w:rPr>
                <w:rFonts w:eastAsia="Arial" w:cs="Arial"/>
                <w:sz w:val="20"/>
              </w:rPr>
            </w:pPr>
          </w:p>
        </w:tc>
      </w:tr>
      <w:tr w:rsidR="00F40DB1" w14:paraId="588C6914" w14:textId="77777777">
        <w:trPr>
          <w:trHeight w:val="515"/>
        </w:trPr>
        <w:tc>
          <w:tcPr>
            <w:tcW w:w="142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AD18" w14:textId="77777777" w:rsidR="00F40DB1" w:rsidRDefault="008361C1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Sonstige fachinterne Absprachen</w:t>
            </w:r>
          </w:p>
        </w:tc>
      </w:tr>
      <w:tr w:rsidR="00F40DB1" w14:paraId="3A8B98F9" w14:textId="77777777">
        <w:trPr>
          <w:trHeight w:val="449"/>
        </w:trPr>
        <w:tc>
          <w:tcPr>
            <w:tcW w:w="6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80BBE" w14:textId="77777777" w:rsidR="00F40DB1" w:rsidRDefault="008361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Lernerfolgsüberprüfung</w:t>
            </w:r>
          </w:p>
          <w:p w14:paraId="52D74BF1" w14:textId="77777777" w:rsidR="00F40DB1" w:rsidRDefault="008361C1">
            <w:pPr>
              <w:numPr>
                <w:ilvl w:val="0"/>
                <w:numId w:val="8"/>
              </w:numPr>
            </w:pPr>
            <w:r>
              <w:rPr>
                <w:sz w:val="20"/>
              </w:rPr>
              <w:t>Mündliche Prüfung</w:t>
            </w:r>
          </w:p>
        </w:tc>
        <w:tc>
          <w:tcPr>
            <w:tcW w:w="7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9472D" w14:textId="77777777" w:rsidR="00F40DB1" w:rsidRPr="00EF2C43" w:rsidRDefault="008361C1" w:rsidP="00EF2C43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Projektvorhaben</w:t>
            </w:r>
          </w:p>
          <w:p w14:paraId="357C4F08" w14:textId="3A695CC2" w:rsidR="00F40DB1" w:rsidRPr="00422419" w:rsidRDefault="008361C1" w:rsidP="0042241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</w:rPr>
            </w:pPr>
            <w:r w:rsidRPr="00422419">
              <w:rPr>
                <w:sz w:val="20"/>
              </w:rPr>
              <w:t xml:space="preserve">Planung eines Freizeitprogramms in Dortmund für </w:t>
            </w:r>
            <w:proofErr w:type="gramStart"/>
            <w:r w:rsidRPr="00422419">
              <w:rPr>
                <w:sz w:val="20"/>
              </w:rPr>
              <w:t>die</w:t>
            </w:r>
            <w:r w:rsidR="00CC0893">
              <w:rPr>
                <w:sz w:val="20"/>
              </w:rPr>
              <w:t xml:space="preserve"> </w:t>
            </w:r>
            <w:proofErr w:type="spellStart"/>
            <w:r w:rsidRPr="00422419">
              <w:rPr>
                <w:sz w:val="20"/>
              </w:rPr>
              <w:t>AustauschschülerInnen</w:t>
            </w:r>
            <w:proofErr w:type="spellEnd"/>
            <w:proofErr w:type="gramEnd"/>
          </w:p>
          <w:p w14:paraId="7CF0BCE5" w14:textId="77777777" w:rsidR="00F40DB1" w:rsidRDefault="00F40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eastAsia="Arial" w:cs="Arial"/>
                <w:color w:val="111111"/>
                <w:szCs w:val="24"/>
              </w:rPr>
            </w:pPr>
          </w:p>
        </w:tc>
      </w:tr>
    </w:tbl>
    <w:p w14:paraId="187864FF" w14:textId="77777777" w:rsidR="00F40DB1" w:rsidRDefault="00F40DB1"/>
    <w:p w14:paraId="5DC74AA0" w14:textId="77777777" w:rsidR="00F40DB1" w:rsidRDefault="00F40DB1"/>
    <w:p w14:paraId="4186BA9C" w14:textId="77777777" w:rsidR="00F40DB1" w:rsidRDefault="00F40DB1"/>
    <w:sectPr w:rsidR="00F40DB1" w:rsidSect="00330D88">
      <w:headerReference w:type="default" r:id="rId8"/>
      <w:pgSz w:w="16838" w:h="11906"/>
      <w:pgMar w:top="1276" w:right="1134" w:bottom="1417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18ADD" w14:textId="77777777" w:rsidR="000A3E57" w:rsidRDefault="000A3E57">
      <w:r>
        <w:separator/>
      </w:r>
    </w:p>
  </w:endnote>
  <w:endnote w:type="continuationSeparator" w:id="0">
    <w:p w14:paraId="70836988" w14:textId="77777777" w:rsidR="000A3E57" w:rsidRDefault="000A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1652E" w14:textId="77777777" w:rsidR="000A3E57" w:rsidRDefault="000A3E57">
      <w:r>
        <w:separator/>
      </w:r>
    </w:p>
  </w:footnote>
  <w:footnote w:type="continuationSeparator" w:id="0">
    <w:p w14:paraId="167F4A09" w14:textId="77777777" w:rsidR="000A3E57" w:rsidRDefault="000A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C1C38" w14:textId="77777777" w:rsidR="00F40DB1" w:rsidRDefault="008361C1">
    <w:pPr>
      <w:jc w:val="center"/>
      <w:rPr>
        <w:sz w:val="22"/>
        <w:szCs w:val="22"/>
      </w:rPr>
    </w:pPr>
    <w:r>
      <w:rPr>
        <w:i/>
        <w:sz w:val="22"/>
        <w:szCs w:val="22"/>
      </w:rPr>
      <w:t>Dieses konkretisierte Unterrichtsvorhaben leistet einen Beitrag zur schrittweisen Anbahnung der nachfolgend genannten Kompetenzen.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3DC0"/>
    <w:multiLevelType w:val="multilevel"/>
    <w:tmpl w:val="68005FA0"/>
    <w:lvl w:ilvl="0">
      <w:start w:val="1"/>
      <w:numFmt w:val="bullet"/>
      <w:lvlText w:val="o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</w:lvl>
    <w:lvl w:ilvl="3">
      <w:start w:val="1"/>
      <w:numFmt w:val="bullet"/>
      <w:lvlText w:val="●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</w:lvl>
    <w:lvl w:ilvl="6">
      <w:start w:val="1"/>
      <w:numFmt w:val="bullet"/>
      <w:lvlText w:val="●"/>
      <w:lvlJc w:val="left"/>
      <w:pPr>
        <w:ind w:left="4680" w:hanging="360"/>
      </w:p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</w:lvl>
  </w:abstractNum>
  <w:abstractNum w:abstractNumId="1" w15:restartNumberingAfterBreak="0">
    <w:nsid w:val="093D0DA2"/>
    <w:multiLevelType w:val="multilevel"/>
    <w:tmpl w:val="50F67232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"/>
      <w:lvlJc w:val="left"/>
      <w:pPr>
        <w:ind w:left="2160" w:hanging="360"/>
      </w:pPr>
    </w:lvl>
    <w:lvl w:ilvl="5">
      <w:start w:val="1"/>
      <w:numFmt w:val="bullet"/>
      <w:lvlText w:val="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"/>
      <w:lvlJc w:val="left"/>
      <w:pPr>
        <w:ind w:left="3240" w:hanging="360"/>
      </w:pPr>
    </w:lvl>
    <w:lvl w:ilvl="8">
      <w:start w:val="1"/>
      <w:numFmt w:val="bullet"/>
      <w:lvlText w:val=""/>
      <w:lvlJc w:val="left"/>
      <w:pPr>
        <w:ind w:left="3600" w:hanging="360"/>
      </w:pPr>
    </w:lvl>
  </w:abstractNum>
  <w:abstractNum w:abstractNumId="2" w15:restartNumberingAfterBreak="0">
    <w:nsid w:val="238B41F6"/>
    <w:multiLevelType w:val="multilevel"/>
    <w:tmpl w:val="F18669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513" w:hanging="360"/>
      </w:pPr>
    </w:lvl>
    <w:lvl w:ilvl="2">
      <w:start w:val="1"/>
      <w:numFmt w:val="bullet"/>
      <w:lvlText w:val="▪"/>
      <w:lvlJc w:val="left"/>
      <w:pPr>
        <w:ind w:left="12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673" w:hanging="360"/>
      </w:pPr>
    </w:lvl>
    <w:lvl w:ilvl="5">
      <w:start w:val="1"/>
      <w:numFmt w:val="bullet"/>
      <w:lvlText w:val="▪"/>
      <w:lvlJc w:val="left"/>
      <w:pPr>
        <w:ind w:left="33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33" w:hanging="360"/>
      </w:pPr>
    </w:lvl>
    <w:lvl w:ilvl="8">
      <w:start w:val="1"/>
      <w:numFmt w:val="bullet"/>
      <w:lvlText w:val="▪"/>
      <w:lvlJc w:val="left"/>
      <w:pPr>
        <w:ind w:left="555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263D5C"/>
    <w:multiLevelType w:val="multilevel"/>
    <w:tmpl w:val="5D8C54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457612B"/>
    <w:multiLevelType w:val="multilevel"/>
    <w:tmpl w:val="035899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0574D0"/>
    <w:multiLevelType w:val="multilevel"/>
    <w:tmpl w:val="DBC4B2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5B51292"/>
    <w:multiLevelType w:val="multilevel"/>
    <w:tmpl w:val="22FC9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74F101B"/>
    <w:multiLevelType w:val="multilevel"/>
    <w:tmpl w:val="301E51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35F481C"/>
    <w:multiLevelType w:val="multilevel"/>
    <w:tmpl w:val="5F4A206A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"/>
      <w:lvlJc w:val="left"/>
      <w:pPr>
        <w:ind w:left="2160" w:hanging="360"/>
      </w:pPr>
    </w:lvl>
    <w:lvl w:ilvl="5">
      <w:start w:val="1"/>
      <w:numFmt w:val="bullet"/>
      <w:lvlText w:val="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"/>
      <w:lvlJc w:val="left"/>
      <w:pPr>
        <w:ind w:left="3240" w:hanging="360"/>
      </w:pPr>
    </w:lvl>
    <w:lvl w:ilvl="8">
      <w:start w:val="1"/>
      <w:numFmt w:val="bullet"/>
      <w:lvlText w:val=""/>
      <w:lvlJc w:val="left"/>
      <w:pPr>
        <w:ind w:left="360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B1"/>
    <w:rsid w:val="000A3E57"/>
    <w:rsid w:val="000B6FBC"/>
    <w:rsid w:val="002B6067"/>
    <w:rsid w:val="00330D88"/>
    <w:rsid w:val="00422419"/>
    <w:rsid w:val="004F4A92"/>
    <w:rsid w:val="005564D0"/>
    <w:rsid w:val="005B15C9"/>
    <w:rsid w:val="005B6EAE"/>
    <w:rsid w:val="005E2CD0"/>
    <w:rsid w:val="006E55DB"/>
    <w:rsid w:val="00751C09"/>
    <w:rsid w:val="008361C1"/>
    <w:rsid w:val="008F709D"/>
    <w:rsid w:val="00965069"/>
    <w:rsid w:val="009E12E9"/>
    <w:rsid w:val="009F73C3"/>
    <w:rsid w:val="00B111E3"/>
    <w:rsid w:val="00BC5A01"/>
    <w:rsid w:val="00C25B04"/>
    <w:rsid w:val="00CC0893"/>
    <w:rsid w:val="00E15091"/>
    <w:rsid w:val="00EF2C43"/>
    <w:rsid w:val="00F026B8"/>
    <w:rsid w:val="00F4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9D1E"/>
  <w15:docId w15:val="{F302FB46-A1D6-40C8-B6A5-2E2CEB37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de-DE" w:eastAsia="de-D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5531"/>
    <w:rPr>
      <w:rFonts w:eastAsia="Times New Roman" w:cs="Times New Roman"/>
      <w:szCs w:val="20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1A650E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1A650E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uiPriority w:val="34"/>
    <w:qFormat/>
    <w:rsid w:val="005B4BCD"/>
    <w:pPr>
      <w:ind w:left="720"/>
      <w:contextualSpacing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1A65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1A650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39"/>
    <w:rsid w:val="005B4B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B6E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6EA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6EAE"/>
    <w:rPr>
      <w:rFonts w:eastAsia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6E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6EAE"/>
    <w:rPr>
      <w:rFonts w:eastAsia="Times New Roman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E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6E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yF3UAWx5XbkFFab3a7UPvcLi/Q==">AMUW2mUF8D52xtTRRQUo5OykF4dNnPyKUHqQk6gUkaLRLec3EL2/DSyk7NSlxRnhzy/w8iuMxZtz3K/Qp5tLe84x353/EwqNQJ8AaUYS2UTyCjYZfnUn7FoFGxsrdk5Y25sTqxNLnLRvFUwVjTe0v/rFQfyaWNpGQA==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6FF240A9</Template>
  <TotalTime>0</TotalTime>
  <Pages>2</Pages>
  <Words>617</Words>
  <Characters>3893</Characters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2020-06-03T08:06:00Z</dcterms:created>
  <dcterms:modified xsi:type="dcterms:W3CDTF">2020-06-12T07:21:00Z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