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2"/>
        <w:gridCol w:w="8709"/>
      </w:tblGrid>
      <w:tr w:rsidR="008469AC" w:rsidRPr="008469AC" w:rsidTr="008469A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469AC" w:rsidRPr="008469AC" w:rsidRDefault="008469AC" w:rsidP="008469AC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Jahrgangsstufe 10</w:t>
            </w:r>
          </w:p>
        </w:tc>
      </w:tr>
      <w:tr w:rsidR="00766F7C" w:rsidRPr="008469AC" w:rsidTr="004869FC">
        <w:tc>
          <w:tcPr>
            <w:tcW w:w="5000" w:type="pct"/>
            <w:gridSpan w:val="2"/>
          </w:tcPr>
          <w:p w:rsidR="00211977" w:rsidRPr="008469AC" w:rsidRDefault="00211977" w:rsidP="008469AC">
            <w:pPr>
              <w:spacing w:before="120" w:line="259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8469AC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V</w:t>
            </w:r>
            <w:r w:rsidRPr="008469AC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>:</w:t>
            </w:r>
            <w:r w:rsidR="008469AC" w:rsidRPr="008469AC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69AC">
              <w:rPr>
                <w:rFonts w:asciiTheme="minorHAnsi" w:hAnsiTheme="minorHAnsi" w:cstheme="minorHAnsi"/>
                <w:b/>
                <w:sz w:val="20"/>
                <w:szCs w:val="20"/>
              </w:rPr>
              <w:t>Auf Gewalt verzichten – die Bergpredigt als Orientierung für eigenes Handeln?</w:t>
            </w:r>
          </w:p>
          <w:p w:rsidR="00766F7C" w:rsidRPr="008469AC" w:rsidRDefault="00766F7C" w:rsidP="00915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sz w:val="20"/>
                <w:szCs w:val="20"/>
              </w:rPr>
              <w:t>Inhaltsfelder und inhaltliche Schwerpunkte</w:t>
            </w: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11977" w:rsidRPr="008469AC" w:rsidRDefault="00211977" w:rsidP="00211977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1: Menschsein in Freiheit und Verantwortung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Grundgedanken biblisch-christlicher Ethik im Prozess ethischer Urteilsfindung</w:t>
            </w:r>
          </w:p>
          <w:p w:rsidR="00211977" w:rsidRPr="008469AC" w:rsidRDefault="008469AC" w:rsidP="00211977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211977"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 3: Jesus, der Christus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Jesu Botschaft vom Reich Gottes</w:t>
            </w:r>
          </w:p>
          <w:p w:rsidR="00211977" w:rsidRPr="008469AC" w:rsidRDefault="008469AC" w:rsidP="00211977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211977"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 5: Bibel als „Ur-Kunde“ des Glaubens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Erzählungen der Bibel als Ausdruck von Glaubenserfahrungen</w:t>
            </w:r>
          </w:p>
          <w:p w:rsidR="00211977" w:rsidRPr="008469AC" w:rsidRDefault="008469AC" w:rsidP="00211977">
            <w:pPr>
              <w:spacing w:before="8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211977"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 6: Weltreligionen im Dialog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Judentum, Christentum und Islam im </w:t>
            </w:r>
            <w:proofErr w:type="spellStart"/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Trialog</w:t>
            </w:r>
            <w:proofErr w:type="spellEnd"/>
          </w:p>
          <w:p w:rsidR="00766F7C" w:rsidRPr="008469AC" w:rsidRDefault="00766F7C" w:rsidP="008469AC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sz w:val="20"/>
                <w:szCs w:val="20"/>
              </w:rPr>
              <w:t>Zeitbedarf</w:t>
            </w: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 xml:space="preserve">: ca. </w:t>
            </w:r>
            <w:r w:rsidR="00211977" w:rsidRPr="008469AC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proofErr w:type="spellStart"/>
            <w:r w:rsidRPr="008469AC">
              <w:rPr>
                <w:rFonts w:asciiTheme="minorHAnsi" w:hAnsiTheme="minorHAnsi" w:cstheme="minorHAnsi"/>
                <w:sz w:val="20"/>
                <w:szCs w:val="20"/>
              </w:rPr>
              <w:t>Ustd</w:t>
            </w:r>
            <w:proofErr w:type="spellEnd"/>
            <w:r w:rsidRPr="008469A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766F7C" w:rsidRPr="008469AC" w:rsidTr="004869FC">
        <w:tc>
          <w:tcPr>
            <w:tcW w:w="5000" w:type="pct"/>
            <w:gridSpan w:val="2"/>
          </w:tcPr>
          <w:p w:rsidR="00766F7C" w:rsidRPr="008469AC" w:rsidRDefault="00766F7C" w:rsidP="009156C9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469A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Übergeordnete Kompetenzerwartungen</w:t>
            </w:r>
          </w:p>
          <w:p w:rsidR="00766F7C" w:rsidRPr="008469AC" w:rsidRDefault="00766F7C" w:rsidP="009156C9">
            <w:pPr>
              <w:tabs>
                <w:tab w:val="left" w:pos="360"/>
              </w:tabs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>Die Schülerinnen und Schüler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beschreiben im Vergleich mit anderen Religionen spezifische Merkmale des christlichen Glaubens,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SK6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führen angeleitet einen synoptischen Vergleich durch,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MK3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reflektieren die Bedeutung grundlegender christlicher Positionen und Werte im Prozess eigener ethischer Urteilsfindung,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UK2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erörtern an Beispielen Handlungsoptionen, die sich aus dem Christsein ergeben,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UK4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766F7C" w:rsidRPr="008469AC" w:rsidRDefault="00211977" w:rsidP="008469AC">
            <w:pPr>
              <w:pStyle w:val="Listenabsatz"/>
              <w:numPr>
                <w:ilvl w:val="0"/>
                <w:numId w:val="10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nehmen begründet Stellung zu religiösen und ethischen Fragen und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vertreten eine eigene Position.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HK1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766F7C" w:rsidRPr="008469AC" w:rsidTr="004869FC">
        <w:tc>
          <w:tcPr>
            <w:tcW w:w="2044" w:type="pct"/>
          </w:tcPr>
          <w:p w:rsidR="00766F7C" w:rsidRPr="008469AC" w:rsidRDefault="00766F7C" w:rsidP="008469AC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469A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Konkretisierte Kompetenzerwartungen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tabs>
                <w:tab w:val="left" w:pos="851"/>
              </w:tabs>
              <w:spacing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erläutern Grundgedanken biblisch-christlicher Ethik, die auf ein Leben in Freiheit und Verantwortung zielt,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K2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tabs>
                <w:tab w:val="left" w:pos="851"/>
              </w:tabs>
              <w:spacing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identifizieren und erläutern Erfahrungen von Abhängigkeit bzw. Unfreiheit, Schuld und Scheitern sowie Möglichkeiten der Versöhnung und des Neuanfangs,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K3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tabs>
                <w:tab w:val="left" w:pos="851"/>
              </w:tabs>
              <w:spacing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beurteilen an einem konkreten Beispiel die Bedeutsamkeit einer Gewissensentscheidung für das eigene Leben und das Zusammenleben mit anderen,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K9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tabs>
                <w:tab w:val="left" w:pos="851"/>
              </w:tabs>
              <w:spacing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erläutern an ausgewählten Gleichnissen, Wundererzählungen und Auszügen aus der Bergpredigt Jesu Rede vom Reich Gottes,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K19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spacing w:before="8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erörtern mögliche Konsequenzen des Glaubens an Jesus für das Leben von Menschen,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K26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spacing w:before="8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bewerten an Beispielen die Rezeption des Lebens und Wirkens Jesu in der analogen und digitalen Medienkultur,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K28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spacing w:before="8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beurteilen die Relevanz biblischer Glaubenserzählungen für Menschen heute,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K46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8469AC">
            <w:pPr>
              <w:pStyle w:val="Listenabsatz"/>
              <w:numPr>
                <w:ilvl w:val="0"/>
                <w:numId w:val="11"/>
              </w:numPr>
              <w:spacing w:before="8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erläutern an Beispielen </w:t>
            </w: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 xml:space="preserve">Gemeinsamkeiten und Unterschiede in Glaube und Glaubenspraxis von Menschen jüdischen, christlichen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und islamischen Glaubens.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K53</w:t>
            </w:r>
            <w:r w:rsid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211977" w:rsidRPr="008469AC" w:rsidRDefault="00211977" w:rsidP="00211977">
            <w:pPr>
              <w:spacing w:before="80" w:after="160"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211977" w:rsidRPr="008469AC" w:rsidRDefault="00211977" w:rsidP="009156C9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766F7C" w:rsidRPr="008469AC" w:rsidRDefault="00766F7C" w:rsidP="00766F7C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56" w:type="pct"/>
          </w:tcPr>
          <w:p w:rsidR="00766F7C" w:rsidRPr="008469AC" w:rsidRDefault="00766F7C" w:rsidP="009156C9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lastRenderedPageBreak/>
              <w:t>Vereinbarungen der Fachkonferenz</w:t>
            </w:r>
            <w:r w:rsidRPr="008469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:rsidR="00766F7C" w:rsidRPr="008469AC" w:rsidRDefault="00766F7C" w:rsidP="009156C9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:rsidR="00101B30" w:rsidRPr="008469AC" w:rsidRDefault="00101B30" w:rsidP="0094742C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after="12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Gewaltlosigkeit und Feindesliebe in der Bergpredigt</w:t>
            </w:r>
          </w:p>
          <w:p w:rsidR="00101B30" w:rsidRPr="008469AC" w:rsidRDefault="00101B30" w:rsidP="0094742C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after="12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>Geschichtliche und politische Realität: Gewalterfahrungen, gewaltsame Konflikte</w:t>
            </w:r>
          </w:p>
          <w:p w:rsidR="00101B30" w:rsidRPr="008469AC" w:rsidRDefault="00101B30" w:rsidP="0094742C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after="12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>Das Modell der Reich-Gottes Botschaft Jesu – ein Weg?</w:t>
            </w:r>
          </w:p>
          <w:p w:rsidR="00766F7C" w:rsidRDefault="00101B30" w:rsidP="0094742C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after="120" w:line="259" w:lineRule="auto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sz w:val="20"/>
                <w:szCs w:val="20"/>
              </w:rPr>
              <w:t>Gewaltverzicht im Christentum und im Hinduismus</w:t>
            </w:r>
          </w:p>
          <w:p w:rsidR="0094742C" w:rsidRPr="008469AC" w:rsidRDefault="0094742C" w:rsidP="0094742C">
            <w:pPr>
              <w:pStyle w:val="Listenabsatz"/>
              <w:tabs>
                <w:tab w:val="left" w:pos="567"/>
              </w:tabs>
              <w:spacing w:after="120" w:line="259" w:lineRule="auto"/>
              <w:ind w:left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66F7C" w:rsidRPr="0094742C" w:rsidRDefault="00766F7C" w:rsidP="009156C9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:rsidR="00101B30" w:rsidRPr="0094742C" w:rsidRDefault="0094742C" w:rsidP="0042420D">
            <w:pPr>
              <w:pStyle w:val="Listenabsatz"/>
              <w:numPr>
                <w:ilvl w:val="0"/>
                <w:numId w:val="12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40E3A" w:rsidRPr="0094742C">
              <w:rPr>
                <w:rFonts w:asciiTheme="minorHAnsi" w:hAnsiTheme="minorHAnsi" w:cstheme="minorHAnsi"/>
                <w:sz w:val="20"/>
                <w:szCs w:val="20"/>
              </w:rPr>
              <w:t xml:space="preserve">ynoptischer Vergleich und Exegese </w:t>
            </w:r>
            <w:r w:rsidR="00B15519" w:rsidRPr="0094742C">
              <w:rPr>
                <w:rFonts w:asciiTheme="minorHAnsi" w:hAnsiTheme="minorHAnsi" w:cstheme="minorHAnsi"/>
                <w:sz w:val="20"/>
                <w:szCs w:val="20"/>
              </w:rPr>
              <w:t xml:space="preserve">von </w:t>
            </w:r>
            <w:proofErr w:type="spellStart"/>
            <w:r w:rsidR="00B15519" w:rsidRPr="0094742C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  <w:proofErr w:type="spellEnd"/>
            <w:r w:rsidR="00B15519" w:rsidRPr="0094742C">
              <w:rPr>
                <w:rFonts w:asciiTheme="minorHAnsi" w:hAnsiTheme="minorHAnsi" w:cstheme="minorHAnsi"/>
                <w:sz w:val="20"/>
                <w:szCs w:val="20"/>
              </w:rPr>
              <w:t xml:space="preserve"> 5-7 und LK 6,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5519" w:rsidRPr="0094742C">
              <w:rPr>
                <w:rFonts w:asciiTheme="minorHAnsi" w:hAnsiTheme="minorHAnsi" w:cstheme="minorHAnsi"/>
                <w:sz w:val="20"/>
                <w:szCs w:val="20"/>
              </w:rPr>
              <w:t>20-49</w:t>
            </w:r>
          </w:p>
          <w:p w:rsidR="00101B30" w:rsidRPr="0094742C" w:rsidRDefault="00101B30" w:rsidP="0042420D">
            <w:pPr>
              <w:pStyle w:val="Listenabsatz"/>
              <w:numPr>
                <w:ilvl w:val="0"/>
                <w:numId w:val="12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Recherche zu aktuellen und historischen Konflikten, </w:t>
            </w:r>
            <w:r w:rsidR="00140E3A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von 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Beispielen für Gewaltanwendung</w:t>
            </w:r>
          </w:p>
          <w:p w:rsidR="003410CB" w:rsidRPr="0094742C" w:rsidRDefault="003410CB" w:rsidP="0042420D">
            <w:pPr>
              <w:pStyle w:val="Listenabsatz"/>
              <w:numPr>
                <w:ilvl w:val="0"/>
                <w:numId w:val="12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Analyse von Bildern der Kunst, die sich mit der Gewaltproblematik auseinandersetzen z.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 Pablo Picasso, Guernica/ Harald Duwe, Tagesschau</w:t>
            </w:r>
          </w:p>
          <w:p w:rsidR="003410CB" w:rsidRPr="0094742C" w:rsidRDefault="0094742C" w:rsidP="0042420D">
            <w:pPr>
              <w:pStyle w:val="Listenabsatz"/>
              <w:numPr>
                <w:ilvl w:val="0"/>
                <w:numId w:val="12"/>
              </w:numPr>
              <w:tabs>
                <w:tab w:val="left" w:pos="567"/>
              </w:tabs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ntertextueller Vergleich von Bibeltexten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z.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 </w:t>
            </w:r>
            <w:r w:rsidR="004869F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Vergleich der Seligpreisungen mit der Perikope zu </w:t>
            </w:r>
            <w:proofErr w:type="spellStart"/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Schifra</w:t>
            </w:r>
            <w:proofErr w:type="spellEnd"/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und </w:t>
            </w:r>
            <w:proofErr w:type="spellStart"/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Pua</w:t>
            </w:r>
            <w:proofErr w:type="spellEnd"/>
            <w:r w:rsidR="004869F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(Ex 1,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869F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15-22)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die ägypt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ischen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Hebammen widersetzen sich dem Befehl des Pharaos, die Hebräer zu töten.</w:t>
            </w:r>
            <w:r w:rsidR="004869F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Sie zeigen Zivilcourage gegenüber der Angst vor Überfremdung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Aufzeigen von 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Parallelen zur Gegenwart</w:t>
            </w:r>
          </w:p>
          <w:p w:rsidR="0094742C" w:rsidRPr="0094742C" w:rsidRDefault="003410CB" w:rsidP="0094742C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before="120" w:after="12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Analyse von Beispielen zu Frieden und Gerechtigkeit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z.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 Versöhnungsarbeit in Ruanda, unter </w:t>
            </w:r>
            <w:hyperlink r:id="rId7" w:history="1">
              <w:r w:rsidR="0094742C" w:rsidRPr="00791A4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https://chrismon.evangelisch.de/artikel/2016/32341/serie-mission-ist-das-christentum-ruanda-gescheitert</w:t>
              </w:r>
            </w:hyperlink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 2016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(Datum des letzten Zugriffs: 20.01.2020)</w:t>
            </w:r>
          </w:p>
          <w:p w:rsidR="0094742C" w:rsidRDefault="003410CB" w:rsidP="0094742C">
            <w:pPr>
              <w:pStyle w:val="Listenabsatz"/>
              <w:tabs>
                <w:tab w:val="left" w:pos="567"/>
              </w:tabs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Zimmermann,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4742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Jörg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Die Kirche und der Frieden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In:</w:t>
            </w:r>
            <w:r w:rsid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issio</w:t>
            </w:r>
            <w:proofErr w:type="spellEnd"/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Religion erleben. Gerechter Friede, Aachen 2001</w:t>
            </w:r>
            <w:r w:rsidR="00712443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94742C" w:rsidRDefault="00712443" w:rsidP="0094742C">
            <w:pPr>
              <w:pStyle w:val="Listenabsatz"/>
              <w:tabs>
                <w:tab w:val="left" w:pos="567"/>
              </w:tabs>
              <w:spacing w:before="120" w:after="0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Ruanda und der Völkermord,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unter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="0094742C" w:rsidRPr="00791A4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https://www.deutschlandfunkkultur.de/ruanda-und-der-voelkermord-die-geschichten-der-toten.979.de.html?dram:article_id=445560</w:t>
              </w:r>
            </w:hyperlink>
          </w:p>
          <w:p w:rsidR="0094742C" w:rsidRPr="0094742C" w:rsidRDefault="0094742C" w:rsidP="0094742C">
            <w:pPr>
              <w:pStyle w:val="Listenabsatz"/>
              <w:tabs>
                <w:tab w:val="left" w:pos="567"/>
              </w:tabs>
              <w:spacing w:after="120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(Datum des letzten Zugriffs: 20.01.2020)</w:t>
            </w:r>
          </w:p>
          <w:p w:rsidR="00393B0A" w:rsidRDefault="0082170E" w:rsidP="00393B0A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Analyse von</w:t>
            </w:r>
            <w:r w:rsidR="00B50E41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Gegenbeispiel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 </w:t>
            </w:r>
            <w:r w:rsid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zum Gewalt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verzicht, 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z.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 Prinzip 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Auge um Auge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 w:rsidR="00567FCF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vgl. 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die Biogra</w:t>
            </w:r>
            <w:r w:rsidR="00BB17A3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hie von </w:t>
            </w:r>
            <w:proofErr w:type="spellStart"/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Ameneh</w:t>
            </w:r>
            <w:proofErr w:type="spellEnd"/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Bahrami</w:t>
            </w:r>
            <w:proofErr w:type="spellEnd"/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einer iranischen Muslim, die Opfer eines Säureattentates wurde und auf die ihr nach iranischem 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echt zugestandene Blendung des Täters 2011 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verzichtete</w:t>
            </w:r>
            <w:r w:rsidR="00393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vgl. </w:t>
            </w:r>
            <w:r w:rsidR="00393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unter </w:t>
            </w:r>
            <w:hyperlink r:id="rId9" w:history="1">
              <w:r w:rsidR="00393B0A" w:rsidRPr="00791A4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https://www.faz.net/aktuell/gesellschaft/saeure-opfer-ameneh-bahrami-doch-nicht-auge-um-auge-11111859.html</w:t>
              </w:r>
            </w:hyperlink>
            <w:r w:rsidR="00393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(Datum des letzten Zugriffs: 20.01.2020)</w:t>
            </w:r>
          </w:p>
          <w:p w:rsidR="003410CB" w:rsidRPr="0094742C" w:rsidRDefault="00393B0A" w:rsidP="00393B0A">
            <w:pPr>
              <w:pStyle w:val="Listenabsatz"/>
              <w:numPr>
                <w:ilvl w:val="0"/>
                <w:numId w:val="4"/>
              </w:numPr>
              <w:tabs>
                <w:tab w:val="left" w:pos="567"/>
              </w:tabs>
              <w:spacing w:before="120" w:after="120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z. B. Auge um Auge. 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Gewalt in Texten der Bibel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In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:in</w:t>
            </w:r>
            <w:proofErr w:type="gramEnd"/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Religion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Heft</w:t>
            </w:r>
            <w:r w:rsidR="00BB26E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4/2004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Aachen 2004</w:t>
            </w:r>
          </w:p>
          <w:p w:rsidR="00567FCF" w:rsidRPr="0094742C" w:rsidRDefault="00567FCF" w:rsidP="0042420D">
            <w:pPr>
              <w:pStyle w:val="Listenabsatz"/>
              <w:numPr>
                <w:ilvl w:val="0"/>
                <w:numId w:val="1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Recherche und Analyse von Videos und Spielfilmen zu</w:t>
            </w:r>
            <w:r w:rsidR="00712443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E74C6" w:rsidRPr="0094742C">
              <w:rPr>
                <w:rFonts w:asciiTheme="minorHAnsi" w:hAnsiTheme="minorHAnsi" w:cstheme="minorHAnsi"/>
                <w:sz w:val="20"/>
                <w:szCs w:val="20"/>
              </w:rPr>
              <w:t>Rezeption der</w:t>
            </w:r>
            <w:r w:rsidR="00712443" w:rsidRPr="0094742C">
              <w:rPr>
                <w:rFonts w:asciiTheme="minorHAnsi" w:hAnsiTheme="minorHAnsi" w:cstheme="minorHAnsi"/>
                <w:sz w:val="20"/>
                <w:szCs w:val="20"/>
              </w:rPr>
              <w:t xml:space="preserve"> Bergpredigt</w:t>
            </w:r>
            <w:r w:rsidRPr="009474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und der 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Them</w:t>
            </w:r>
            <w:r w:rsidR="007E74C6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</w:t>
            </w:r>
            <w:r w:rsidR="00393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Gewalt/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Gewaltverzicht und kritischer Vergleich mit der biblischen Botschaft</w:t>
            </w:r>
            <w:r w:rsidR="00D9535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z.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D9535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B. Film: In eine</w:t>
            </w:r>
            <w:r w:rsidR="00393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 besseren Welt, Dänemark 2010 (</w:t>
            </w:r>
            <w:r w:rsidR="00D9535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Filmdrama über die moralischen Konflikte von Rache</w:t>
            </w:r>
            <w:r w:rsidR="00393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D9535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12443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410CB" w:rsidRPr="0094742C" w:rsidRDefault="00393B0A" w:rsidP="0042420D">
            <w:pPr>
              <w:pStyle w:val="Listenabsatz"/>
              <w:numPr>
                <w:ilvl w:val="0"/>
                <w:numId w:val="1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3410CB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nterreligiöser </w:t>
            </w:r>
            <w:r w:rsidR="00140E3A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Bezug: Vergleich</w:t>
            </w:r>
            <w:r w:rsidR="006E6B2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der Bergpredigt </w:t>
            </w:r>
            <w:r w:rsidR="006E6B27" w:rsidRPr="0094742C">
              <w:rPr>
                <w:rFonts w:asciiTheme="minorHAnsi" w:hAnsiTheme="minorHAnsi" w:cstheme="minorHAnsi"/>
                <w:sz w:val="20"/>
                <w:szCs w:val="20"/>
              </w:rPr>
              <w:t xml:space="preserve">mit der </w:t>
            </w:r>
            <w:proofErr w:type="spellStart"/>
            <w:r w:rsidR="006E6B27" w:rsidRPr="0094742C">
              <w:rPr>
                <w:rFonts w:asciiTheme="minorHAnsi" w:hAnsiTheme="minorHAnsi" w:cstheme="minorHAnsi"/>
                <w:sz w:val="20"/>
                <w:szCs w:val="20"/>
              </w:rPr>
              <w:t>Ahimsa</w:t>
            </w:r>
            <w:proofErr w:type="spellEnd"/>
            <w:r w:rsidR="006E6B27" w:rsidRPr="009474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6B2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Lehre Gandhis, z.</w:t>
            </w:r>
            <w:r w:rsidR="008469AC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6E6B2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 Dialog zwischen Bonhoeffer und Gandhi: vgl. </w:t>
            </w:r>
            <w:proofErr w:type="spellStart"/>
            <w:r w:rsidR="006E6B2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Oppel</w:t>
            </w:r>
            <w:proofErr w:type="spellEnd"/>
            <w:r w:rsidR="0082170E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Katharina D. </w:t>
            </w:r>
            <w:r w:rsidR="00D9535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vgl. Literaturhinweis</w:t>
            </w:r>
            <w:r w:rsidR="00D95357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="00140E3A" w:rsidRDefault="00393B0A" w:rsidP="0042420D">
            <w:pPr>
              <w:pStyle w:val="Listenabsatz"/>
              <w:numPr>
                <w:ilvl w:val="0"/>
                <w:numId w:val="13"/>
              </w:numPr>
              <w:spacing w:before="120" w:after="120"/>
              <w:ind w:left="357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contra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140E3A" w:rsidRPr="009474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Diskussion zur Gewaltlosigkeit</w:t>
            </w:r>
          </w:p>
          <w:p w:rsidR="00393B0A" w:rsidRPr="0094742C" w:rsidRDefault="00393B0A" w:rsidP="00393B0A">
            <w:pPr>
              <w:pStyle w:val="Listenabsatz"/>
              <w:spacing w:before="120" w:after="120"/>
              <w:ind w:left="357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21FC3" w:rsidRPr="008469AC" w:rsidRDefault="00021FC3" w:rsidP="009156C9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Literatur:</w:t>
            </w:r>
          </w:p>
          <w:p w:rsidR="00021FC3" w:rsidRPr="0042420D" w:rsidRDefault="00021FC3" w:rsidP="0042420D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Kamphaus, </w:t>
            </w:r>
            <w:r w:rsidR="00393B0A"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Franz: Wenn der Glaube konkret wird.</w:t>
            </w:r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Die Bergpredigt, Düsseldorf 2018</w:t>
            </w:r>
          </w:p>
          <w:p w:rsidR="00D95357" w:rsidRPr="0042420D" w:rsidRDefault="00D95357" w:rsidP="0042420D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Oppel</w:t>
            </w:r>
            <w:proofErr w:type="spellEnd"/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93B0A"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Katharina D.: „</w:t>
            </w:r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Viel lieber würd</w:t>
            </w:r>
            <w:r w:rsidR="006F3708"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ich gleich zu Gandhi gehen</w:t>
            </w:r>
            <w:r w:rsidR="006F3708"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…“</w:t>
            </w:r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Dietrich Bonhoeffer und Mahatma Gandhi: Zwei Stimmen für den Frieden, Düsseldorf 2017</w:t>
            </w:r>
          </w:p>
          <w:p w:rsidR="00766F7C" w:rsidRPr="0042420D" w:rsidRDefault="00766F7C" w:rsidP="009156C9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Hinweise auf außerschulische Lernorte</w:t>
            </w:r>
            <w:r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8469AC"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---</w:t>
            </w:r>
          </w:p>
          <w:p w:rsidR="008469AC" w:rsidRPr="008469AC" w:rsidRDefault="00766F7C" w:rsidP="009156C9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9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Kooperationen:</w:t>
            </w:r>
            <w:r w:rsidR="008469AC" w:rsidRPr="008469A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469AC" w:rsidRPr="004242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---</w:t>
            </w:r>
            <w:bookmarkStart w:id="0" w:name="_GoBack"/>
            <w:bookmarkEnd w:id="0"/>
          </w:p>
        </w:tc>
      </w:tr>
    </w:tbl>
    <w:p w:rsidR="00766F7C" w:rsidRPr="008469AC" w:rsidRDefault="00766F7C" w:rsidP="00766F7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766F7C" w:rsidRPr="008469AC" w:rsidSect="008469AC"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A7" w:rsidRDefault="00AB73A7" w:rsidP="00AB73A7">
      <w:pPr>
        <w:spacing w:after="0" w:line="240" w:lineRule="auto"/>
      </w:pPr>
      <w:r>
        <w:separator/>
      </w:r>
    </w:p>
  </w:endnote>
  <w:endnote w:type="continuationSeparator" w:id="0">
    <w:p w:rsidR="00AB73A7" w:rsidRDefault="00AB73A7" w:rsidP="00AB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673927"/>
      <w:docPartObj>
        <w:docPartGallery w:val="Page Numbers (Bottom of Page)"/>
        <w:docPartUnique/>
      </w:docPartObj>
    </w:sdtPr>
    <w:sdtEndPr/>
    <w:sdtContent>
      <w:p w:rsidR="00AB73A7" w:rsidRDefault="00AB73A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20D">
          <w:rPr>
            <w:noProof/>
          </w:rPr>
          <w:t>3</w:t>
        </w:r>
        <w:r>
          <w:fldChar w:fldCharType="end"/>
        </w:r>
      </w:p>
    </w:sdtContent>
  </w:sdt>
  <w:p w:rsidR="00AB73A7" w:rsidRDefault="00AB73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A7" w:rsidRDefault="00AB73A7" w:rsidP="00AB73A7">
      <w:pPr>
        <w:spacing w:after="0" w:line="240" w:lineRule="auto"/>
      </w:pPr>
      <w:r>
        <w:separator/>
      </w:r>
    </w:p>
  </w:footnote>
  <w:footnote w:type="continuationSeparator" w:id="0">
    <w:p w:rsidR="00AB73A7" w:rsidRDefault="00AB73A7" w:rsidP="00AB7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69F"/>
    <w:multiLevelType w:val="hybridMultilevel"/>
    <w:tmpl w:val="774C3CFC"/>
    <w:lvl w:ilvl="0" w:tplc="3842AB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2138"/>
    <w:multiLevelType w:val="hybridMultilevel"/>
    <w:tmpl w:val="5002B872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BBF"/>
    <w:multiLevelType w:val="hybridMultilevel"/>
    <w:tmpl w:val="FE00E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E3F83"/>
    <w:multiLevelType w:val="hybridMultilevel"/>
    <w:tmpl w:val="95FA335E"/>
    <w:lvl w:ilvl="0" w:tplc="F9A2455C">
      <w:numFmt w:val="bullet"/>
      <w:lvlText w:val="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276E2"/>
    <w:multiLevelType w:val="hybridMultilevel"/>
    <w:tmpl w:val="964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67E15"/>
    <w:multiLevelType w:val="hybridMultilevel"/>
    <w:tmpl w:val="BD865DC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4E5FE0"/>
    <w:multiLevelType w:val="hybridMultilevel"/>
    <w:tmpl w:val="2D405704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E95DB2"/>
    <w:multiLevelType w:val="hybridMultilevel"/>
    <w:tmpl w:val="77F0AFF6"/>
    <w:lvl w:ilvl="0" w:tplc="3842AB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6095"/>
    <w:multiLevelType w:val="hybridMultilevel"/>
    <w:tmpl w:val="4B4E41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6572C"/>
    <w:multiLevelType w:val="hybridMultilevel"/>
    <w:tmpl w:val="009A6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7C"/>
    <w:rsid w:val="00021FC3"/>
    <w:rsid w:val="00101B30"/>
    <w:rsid w:val="00140E3A"/>
    <w:rsid w:val="001F40CE"/>
    <w:rsid w:val="00211977"/>
    <w:rsid w:val="002259C7"/>
    <w:rsid w:val="00310005"/>
    <w:rsid w:val="00310DBC"/>
    <w:rsid w:val="003410CB"/>
    <w:rsid w:val="00393B0A"/>
    <w:rsid w:val="0042420D"/>
    <w:rsid w:val="004869FC"/>
    <w:rsid w:val="00567FCF"/>
    <w:rsid w:val="006E6B27"/>
    <w:rsid w:val="006F3708"/>
    <w:rsid w:val="00712443"/>
    <w:rsid w:val="007510A0"/>
    <w:rsid w:val="0075291B"/>
    <w:rsid w:val="00766F7C"/>
    <w:rsid w:val="007B6C60"/>
    <w:rsid w:val="007E74C6"/>
    <w:rsid w:val="0082170E"/>
    <w:rsid w:val="008469AC"/>
    <w:rsid w:val="00944BAD"/>
    <w:rsid w:val="0094742C"/>
    <w:rsid w:val="009B3BB9"/>
    <w:rsid w:val="00AA729D"/>
    <w:rsid w:val="00AB73A7"/>
    <w:rsid w:val="00AF51F6"/>
    <w:rsid w:val="00B15519"/>
    <w:rsid w:val="00B50E41"/>
    <w:rsid w:val="00BB17A3"/>
    <w:rsid w:val="00BB26EB"/>
    <w:rsid w:val="00D95357"/>
    <w:rsid w:val="00F6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D912"/>
  <w15:chartTrackingRefBased/>
  <w15:docId w15:val="{54235C5D-568A-44B4-90A7-BA817634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6F7C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6F7C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567FCF"/>
    <w:rPr>
      <w:i/>
      <w:iCs/>
    </w:rPr>
  </w:style>
  <w:style w:type="character" w:styleId="Fett">
    <w:name w:val="Strong"/>
    <w:basedOn w:val="Absatz-Standardschriftart"/>
    <w:uiPriority w:val="22"/>
    <w:qFormat/>
    <w:rsid w:val="00567FC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B26E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B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73A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B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73A7"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393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landfunkkultur.de/ruanda-und-der-voelkermord-die-geschichten-der-toten.979.de.html?dram:article_id=445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rismon.evangelisch.de/artikel/2016/32341/serie-mission-ist-das-christentum-ruanda-gescheit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z.net/aktuell/gesellschaft/saeure-opfer-ameneh-bahrami-doch-nicht-auge-um-auge-11111859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DE32597A</Template>
  <TotalTime>0</TotalTime>
  <Pages>3</Pages>
  <Words>727</Words>
  <Characters>4587</Characters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2019-12-23T12:02:00Z</dcterms:created>
  <dcterms:modified xsi:type="dcterms:W3CDTF">2020-01-29T14:51:00Z</dcterms:modified>
</cp:coreProperties>
</file>