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CA5574" w14:paraId="5108E68F" w14:textId="77777777">
        <w:tc>
          <w:tcPr>
            <w:tcW w:w="9778" w:type="dxa"/>
            <w:tcBorders>
              <w:bottom w:val="nil"/>
            </w:tcBorders>
            <w:shd w:val="clear" w:color="auto" w:fill="auto"/>
          </w:tcPr>
          <w:p w14:paraId="4278875D" w14:textId="77777777" w:rsidR="00F15234" w:rsidRPr="00B657F5" w:rsidRDefault="00027730" w:rsidP="00F1523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8"/>
                <w:szCs w:val="20"/>
                <w:u w:val="single"/>
                <w:lang w:eastAsia="de-DE"/>
              </w:rPr>
            </w:pPr>
            <w:bookmarkStart w:id="0" w:name="_GoBack"/>
            <w:bookmarkEnd w:id="0"/>
            <w:r w:rsidRPr="00B657F5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 xml:space="preserve">Konkretisiertes </w:t>
            </w:r>
            <w:r w:rsidR="00F15234" w:rsidRPr="00B657F5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 xml:space="preserve">Unterrichtsvorhaben </w:t>
            </w:r>
            <w:r w:rsidR="00B657F5" w:rsidRPr="00B657F5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>9.</w:t>
            </w:r>
            <w:r w:rsidR="00B657F5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>1-2</w:t>
            </w:r>
          </w:p>
          <w:p w14:paraId="24EDC770" w14:textId="77777777" w:rsidR="00F15234" w:rsidRPr="00CA5574" w:rsidRDefault="00F15234" w:rsidP="00CA55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</w:pPr>
            <w:r w:rsidRPr="00CA5574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>“</w:t>
            </w:r>
            <w:r w:rsidR="00CA5574" w:rsidRPr="00CA5574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>Let me tell you about …</w:t>
            </w:r>
            <w:r w:rsidRPr="00CA5574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 xml:space="preserve">” – </w:t>
            </w:r>
            <w:r w:rsidR="00CA5574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>Life down under</w:t>
            </w:r>
          </w:p>
        </w:tc>
      </w:tr>
      <w:tr w:rsidR="00F15234" w:rsidRPr="009F31E1" w14:paraId="14214D99" w14:textId="77777777">
        <w:tc>
          <w:tcPr>
            <w:tcW w:w="9778" w:type="dxa"/>
            <w:tcBorders>
              <w:top w:val="nil"/>
              <w:bottom w:val="nil"/>
            </w:tcBorders>
            <w:shd w:val="clear" w:color="auto" w:fill="D9D9D9"/>
          </w:tcPr>
          <w:p w14:paraId="5D81D1BE" w14:textId="4E6C5CF8" w:rsidR="00084D24" w:rsidRDefault="00084D24" w:rsidP="00F15234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 w:rsidRP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Das Unterrichtsvorhaben dient </w:t>
            </w:r>
            <w:r w:rsidR="0005046D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schwerpunktmäßig der Förderung der funktionalen kommunikativen </w:t>
            </w:r>
            <w:r w:rsidR="00EB2E1F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Teilk</w:t>
            </w:r>
            <w:r w:rsidR="0005046D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ompetenzen Sprechen: zusammenhängendes Sprechen und Schreiben. Die </w:t>
            </w:r>
            <w:proofErr w:type="spellStart"/>
            <w:r w:rsidR="00427F6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SuS</w:t>
            </w:r>
            <w:proofErr w:type="spellEnd"/>
            <w:r w:rsidR="0005046D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setzen sich</w:t>
            </w:r>
            <w:r w:rsidRP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mit Australien und Neuseeland unter interkulturellen (</w:t>
            </w:r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auch landeskundlichen) Aspekten</w:t>
            </w:r>
            <w:r w:rsidR="0005046D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auseinander</w:t>
            </w:r>
            <w:r w:rsidRP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. </w:t>
            </w:r>
            <w:r w:rsidR="0005046D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Ein z</w:t>
            </w:r>
            <w:r w:rsidRP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entraler</w:t>
            </w:r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P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Gesichtspunkt ist</w:t>
            </w:r>
            <w:r w:rsidR="0005046D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dabei</w:t>
            </w:r>
            <w:r w:rsidRP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der kritische Umgang mit dem Thema, um die einseitige Sicht der bunten Bilder mit ihrer romantisierenden Vermittlung Australiens</w:t>
            </w:r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und Neuseelands</w:t>
            </w:r>
            <w:r w:rsidRP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als </w:t>
            </w:r>
            <w:r w:rsidRPr="005E27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Work </w:t>
            </w:r>
            <w:r w:rsidR="00554F8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and</w:t>
            </w:r>
            <w:r w:rsidRPr="005E27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Travel-, Backpacker-</w:t>
            </w:r>
            <w:r w:rsidRP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und Naturparadies zu </w:t>
            </w:r>
            <w:r w:rsidR="0005046D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relativieren</w:t>
            </w:r>
            <w:r w:rsidRP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.</w:t>
            </w:r>
          </w:p>
          <w:p w14:paraId="58583F09" w14:textId="77777777" w:rsidR="00971FED" w:rsidRDefault="00554F80" w:rsidP="00971FED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Die </w:t>
            </w:r>
            <w:proofErr w:type="spellStart"/>
            <w:r w:rsidR="00427F6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SuS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erstellen</w:t>
            </w:r>
            <w:r w:rsid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medial gestützte Präsentationen zu einem selbst</w:t>
            </w:r>
            <w:r w:rsidR="00971FED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gewählten Themenbereich</w:t>
            </w:r>
            <w:r w:rsid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und setzen sich dabei auch mit kritischen Aspekten (z.B. </w:t>
            </w:r>
            <w:r w:rsidR="00971FED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Auswirkungen des </w:t>
            </w:r>
            <w:r w:rsidR="00084D24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Tourismus, Umgang mit indigenen Völkern) auseinander.</w:t>
            </w:r>
          </w:p>
          <w:p w14:paraId="4C773461" w14:textId="77777777" w:rsidR="00F15234" w:rsidRPr="00DE34F5" w:rsidRDefault="00971FED" w:rsidP="00971FED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de-DE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Die Vorträge dienen als Grundlage für sich anschließende Diskussionen im Plenum.</w:t>
            </w:r>
          </w:p>
        </w:tc>
      </w:tr>
      <w:tr w:rsidR="00F15234" w:rsidRPr="009F31E1" w14:paraId="1B491C11" w14:textId="77777777">
        <w:tc>
          <w:tcPr>
            <w:tcW w:w="97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AAB0AF" w14:textId="6F2104E2" w:rsidR="00F15234" w:rsidRPr="00F15234" w:rsidRDefault="00F15234" w:rsidP="00CA5574">
            <w:pPr>
              <w:spacing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de-DE"/>
              </w:rPr>
            </w:pPr>
            <w:proofErr w:type="spellStart"/>
            <w:r w:rsidRPr="00F15234"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  <w:t>Stundenkontingent</w:t>
            </w:r>
            <w:proofErr w:type="spellEnd"/>
            <w:r w:rsidRPr="00F15234"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  <w:t>:</w:t>
            </w:r>
            <w:r w:rsidRPr="00F15234">
              <w:rPr>
                <w:rFonts w:ascii="Arial Narrow" w:eastAsia="Times New Roman" w:hAnsi="Arial Narrow"/>
                <w:szCs w:val="20"/>
                <w:lang w:val="en-US" w:eastAsia="de-DE"/>
              </w:rPr>
              <w:t xml:space="preserve"> ca. 2</w:t>
            </w:r>
            <w:r w:rsidR="00CA5574">
              <w:rPr>
                <w:rFonts w:ascii="Arial Narrow" w:eastAsia="Times New Roman" w:hAnsi="Arial Narrow"/>
                <w:szCs w:val="20"/>
                <w:lang w:val="en-US" w:eastAsia="de-DE"/>
              </w:rPr>
              <w:t>2</w:t>
            </w:r>
            <w:r w:rsidRPr="00F15234">
              <w:rPr>
                <w:rFonts w:ascii="Arial Narrow" w:eastAsia="Times New Roman" w:hAnsi="Arial Narrow"/>
                <w:szCs w:val="20"/>
                <w:lang w:val="en-US" w:eastAsia="de-DE"/>
              </w:rPr>
              <w:t xml:space="preserve"> </w:t>
            </w:r>
            <w:r w:rsidR="00F36FA4">
              <w:rPr>
                <w:rFonts w:ascii="Arial Narrow" w:eastAsia="Times New Roman" w:hAnsi="Arial Narrow"/>
                <w:szCs w:val="20"/>
                <w:lang w:val="en-US" w:eastAsia="de-DE"/>
              </w:rPr>
              <w:t>U-</w:t>
            </w:r>
            <w:r w:rsidRPr="00F15234">
              <w:rPr>
                <w:rFonts w:ascii="Arial Narrow" w:eastAsia="Times New Roman" w:hAnsi="Arial Narrow"/>
                <w:bCs/>
                <w:szCs w:val="20"/>
                <w:lang w:val="en-US" w:eastAsia="de-DE"/>
              </w:rPr>
              <w:t>Std.</w:t>
            </w:r>
          </w:p>
        </w:tc>
      </w:tr>
      <w:tr w:rsidR="00F15234" w:rsidRPr="009F31E1" w14:paraId="00419322" w14:textId="77777777">
        <w:tc>
          <w:tcPr>
            <w:tcW w:w="9778" w:type="dxa"/>
            <w:shd w:val="clear" w:color="auto" w:fill="D9D9D9"/>
          </w:tcPr>
          <w:p w14:paraId="5EC680A1" w14:textId="77777777" w:rsidR="00F15234" w:rsidRPr="00DE34F5" w:rsidRDefault="00F15234" w:rsidP="00F152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Interkulturelle kommunikative Kompetenz</w:t>
            </w:r>
          </w:p>
        </w:tc>
      </w:tr>
      <w:tr w:rsidR="00F15234" w:rsidRPr="009F31E1" w14:paraId="05EE00BF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6EB62F61" w14:textId="77777777" w:rsidR="00F15234" w:rsidRPr="00DE34F5" w:rsidRDefault="00F15234" w:rsidP="00F15234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Orientierungswissen: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</w:p>
          <w:p w14:paraId="5E4486A3" w14:textId="77777777" w:rsidR="00F15234" w:rsidRPr="00DE34F5" w:rsidRDefault="00F15234" w:rsidP="00E50D9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DE34F5"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de-DE"/>
              </w:rPr>
              <w:t>Teilhabe am gesellschaftlichen Leben: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 xml:space="preserve"> </w:t>
            </w:r>
            <w:r w:rsidR="00E50D99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>anglophone Lebenswirklichkeiten global (u.a. in einem weiteren anglophonen Land)</w:t>
            </w:r>
          </w:p>
        </w:tc>
      </w:tr>
      <w:tr w:rsidR="00F15234" w:rsidRPr="009F31E1" w14:paraId="79EFD1CE" w14:textId="77777777">
        <w:tc>
          <w:tcPr>
            <w:tcW w:w="9778" w:type="dxa"/>
            <w:shd w:val="clear" w:color="auto" w:fill="D9D9D9"/>
          </w:tcPr>
          <w:p w14:paraId="169F5796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Funktionale kommunikative Kompetenz</w:t>
            </w:r>
          </w:p>
        </w:tc>
      </w:tr>
      <w:tr w:rsidR="00F15234" w:rsidRPr="009F31E1" w14:paraId="20160D9C" w14:textId="77777777">
        <w:tc>
          <w:tcPr>
            <w:tcW w:w="9778" w:type="dxa"/>
            <w:shd w:val="clear" w:color="auto" w:fill="auto"/>
          </w:tcPr>
          <w:p w14:paraId="0050D482" w14:textId="77777777" w:rsidR="00010BEE" w:rsidRDefault="00010BEE" w:rsidP="00010BEE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Sprechen: zusammenhängendes Sprechen: </w:t>
            </w:r>
            <w:r w:rsidR="00E50D99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notizengestützt eine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Präsentation strukturiert vortragen (</w:t>
            </w:r>
            <w:r w:rsidR="00E50D99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gewählte</w:t>
            </w:r>
            <w:r w:rsidR="00C056D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s Thema</w:t>
            </w:r>
            <w:r w:rsidR="00E50D99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vorstellen, kritische Aspekte diskutieren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</w:t>
            </w:r>
            <w:r w:rsidR="00E50D99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und dabei weitgehend funktional auf Materialien zur Veranschaulichung eingehen (z.B. Poster, Grafiken, digitale Präsentationsfolien)</w:t>
            </w:r>
          </w:p>
          <w:p w14:paraId="37F53EB1" w14:textId="77777777" w:rsidR="00E50D99" w:rsidRPr="00E50D99" w:rsidRDefault="00E50D99" w:rsidP="00010BEE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>Schreiben:</w:t>
            </w:r>
            <w:r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ein grundlegendes Spektrum von Texten in beschreibender, zusammenfassender, erklärender und argumentierender Absicht verfassen</w:t>
            </w:r>
            <w:r w:rsidR="000C2B66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(</w:t>
            </w:r>
            <w:r w:rsidR="005E2724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Inhalte der Präsentationen</w:t>
            </w:r>
            <w:r w:rsidR="000C2B66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</w:t>
            </w:r>
            <w:r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; kreativ gestaltend auch mehrfach kodierte Texte verfassen</w:t>
            </w:r>
            <w:r w:rsidR="000C2B66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(Materialien zur Veranschaulichung)</w:t>
            </w:r>
          </w:p>
          <w:p w14:paraId="5672E05F" w14:textId="77777777" w:rsidR="00F15234" w:rsidRPr="00DE34F5" w:rsidRDefault="00F15234" w:rsidP="00F15234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/>
                <w:bCs/>
                <w:sz w:val="20"/>
                <w:u w:val="single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u w:val="single"/>
                <w:lang w:eastAsia="x-none"/>
              </w:rPr>
              <w:t>Ergänzend:</w:t>
            </w:r>
          </w:p>
          <w:p w14:paraId="10167D19" w14:textId="77777777" w:rsidR="00010BEE" w:rsidRDefault="000C2B66" w:rsidP="00010BEE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Leseverstehen</w:t>
            </w:r>
            <w:r w:rsidR="00010BEE" w:rsidRPr="00DE34F5"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>:</w:t>
            </w:r>
            <w:r w:rsidR="00010BEE" w:rsidRPr="00DE34F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Sach- und Gebrauchstexten die Gesamtaussage, die Hauptpunkte und wichtige Details entnehmen (Printmedien</w:t>
            </w:r>
            <w:r w:rsidR="008A7C7D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und </w:t>
            </w:r>
            <w:r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Online-Quellen</w:t>
            </w:r>
            <w:r w:rsidR="00A81961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, u.a. Diagramme</w:t>
            </w:r>
            <w:r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</w:t>
            </w:r>
          </w:p>
          <w:p w14:paraId="49C9E0BA" w14:textId="77777777" w:rsidR="008A7C7D" w:rsidRPr="008A7C7D" w:rsidRDefault="008A7C7D" w:rsidP="00010BEE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>Hör-/Hörsehverstehen</w:t>
            </w:r>
            <w:r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: längeren Hör-/Hörsehtexten die Hauptpunkte und wichtige Details entnehmen</w:t>
            </w:r>
          </w:p>
          <w:p w14:paraId="60BF25B2" w14:textId="77777777" w:rsidR="00F15234" w:rsidRPr="00DE34F5" w:rsidRDefault="00CD0D91" w:rsidP="005755DD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>Sprechen</w:t>
            </w:r>
            <w:r w:rsidR="00F15234"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 xml:space="preserve"> an Gesprächen teilnehmen:</w:t>
            </w:r>
            <w:r w:rsidR="00F15234"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an informellen Gesprächen spontan aktiv teilnehmen (in der Gruppenarbeit und während der Diskussionsphasen im Anschluss an die Präsentationen); auf Beiträge des Gesprächspartners in der Regel flexibel eingehen und wesentliche Verständnisprobleme ausräumen (z.B. bei Absprachen und Diskussionen innerhalb der Arbeitsgruppe)</w:t>
            </w:r>
          </w:p>
        </w:tc>
      </w:tr>
      <w:tr w:rsidR="00F15234" w:rsidRPr="009F31E1" w14:paraId="1BF9FB38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0914DB63" w14:textId="77777777" w:rsidR="00F15234" w:rsidRPr="00DE34F5" w:rsidRDefault="00F15234" w:rsidP="00F15234">
            <w:pPr>
              <w:spacing w:before="20" w:after="20" w:line="240" w:lineRule="auto"/>
              <w:ind w:right="85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  <w:t>Verfügen über sprachliche Mittel</w:t>
            </w:r>
          </w:p>
          <w:p w14:paraId="003123E9" w14:textId="77777777" w:rsidR="00F15234" w:rsidRPr="008A7C7D" w:rsidRDefault="00F15234" w:rsidP="00F15234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Wortschatz: </w:t>
            </w:r>
            <w:r w:rsidR="008A7C7D" w:rsidRPr="008A7C7D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einen allgemeinen sowie thematischen</w:t>
            </w:r>
            <w:r w:rsidR="008A7C7D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Wortschatz verstehen und situ</w:t>
            </w:r>
            <w:r w:rsidR="00C056D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ationsangemessen anwenden (Themenbereiche z.B.</w:t>
            </w:r>
            <w:r w:rsidR="008A7C7D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proofErr w:type="spellStart"/>
            <w:r w:rsidR="008A7C7D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geography</w:t>
            </w:r>
            <w:proofErr w:type="spellEnd"/>
            <w:r w:rsidR="005755DD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 xml:space="preserve">, </w:t>
            </w:r>
            <w:proofErr w:type="spellStart"/>
            <w:r w:rsidR="005755DD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environment</w:t>
            </w:r>
            <w:proofErr w:type="spellEnd"/>
            <w:r w:rsidR="005755DD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 xml:space="preserve">, </w:t>
            </w:r>
            <w:proofErr w:type="spellStart"/>
            <w:r w:rsidR="005755DD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culture</w:t>
            </w:r>
            <w:proofErr w:type="spellEnd"/>
            <w:r w:rsidR="005755DD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 xml:space="preserve">, </w:t>
            </w:r>
            <w:proofErr w:type="spellStart"/>
            <w:r w:rsidR="005755DD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economy</w:t>
            </w:r>
            <w:proofErr w:type="spellEnd"/>
            <w:r w:rsidR="005755DD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 xml:space="preserve">, </w:t>
            </w:r>
            <w:proofErr w:type="spellStart"/>
            <w:r w:rsidR="005755DD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tourism</w:t>
            </w:r>
            <w:proofErr w:type="spellEnd"/>
            <w:r w:rsidR="008A7C7D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</w:t>
            </w:r>
          </w:p>
          <w:p w14:paraId="783B44EF" w14:textId="77777777" w:rsidR="00F15234" w:rsidRPr="00DE34F5" w:rsidRDefault="00F15234" w:rsidP="00F15234">
            <w:pPr>
              <w:spacing w:before="20" w:after="20" w:line="240" w:lineRule="auto"/>
              <w:ind w:right="85"/>
              <w:rPr>
                <w:rFonts w:ascii="Arial Narrow" w:eastAsia="Times New Roman" w:hAnsi="Arial Narrow"/>
                <w:bCs/>
                <w:sz w:val="24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Grammatik: </w:t>
            </w:r>
            <w:r w:rsidR="00C056D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komplexe Sachverhalte in Satzgefügen formulieren (u.a. mit Adverbialsätzen des Zwecks und der Art und Weise)</w:t>
            </w:r>
          </w:p>
          <w:p w14:paraId="14D073DF" w14:textId="77777777" w:rsidR="00F15234" w:rsidRPr="00716F60" w:rsidRDefault="00F15234" w:rsidP="00716F60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Aussprache</w:t>
            </w: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>/</w:t>
            </w: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Intonation: </w:t>
            </w:r>
            <w:r w:rsidR="00C056D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weitere gängige Aussprachevarietäten (</w:t>
            </w:r>
            <w:proofErr w:type="spellStart"/>
            <w:r w:rsidR="00C056D8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Australian</w:t>
            </w:r>
            <w:proofErr w:type="spellEnd"/>
            <w:r w:rsidR="00C056D8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 xml:space="preserve"> English</w:t>
            </w:r>
            <w:r w:rsidR="00C056D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 erkennen und weitgehend verstehen</w:t>
            </w:r>
          </w:p>
        </w:tc>
      </w:tr>
      <w:tr w:rsidR="00F15234" w:rsidRPr="009F31E1" w14:paraId="607DF94F" w14:textId="77777777">
        <w:tc>
          <w:tcPr>
            <w:tcW w:w="9778" w:type="dxa"/>
            <w:shd w:val="clear" w:color="auto" w:fill="D9D9D9"/>
          </w:tcPr>
          <w:p w14:paraId="60275893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Text- und Medienkompetenz</w:t>
            </w:r>
          </w:p>
        </w:tc>
      </w:tr>
      <w:tr w:rsidR="00F15234" w:rsidRPr="009F31E1" w14:paraId="040B0099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5BD239D8" w14:textId="77777777" w:rsidR="00F15234" w:rsidRPr="00DE34F5" w:rsidRDefault="00F15234" w:rsidP="00611A3A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DE34F5">
              <w:rPr>
                <w:rFonts w:ascii="Arial Narrow" w:hAnsi="Arial Narrow"/>
                <w:b/>
                <w:sz w:val="20"/>
              </w:rPr>
              <w:t>Ausgangstexte</w:t>
            </w:r>
            <w:r w:rsidRPr="00DE34F5">
              <w:rPr>
                <w:rFonts w:ascii="Arial Narrow" w:hAnsi="Arial Narrow"/>
                <w:sz w:val="20"/>
              </w:rPr>
              <w:t xml:space="preserve">: </w:t>
            </w:r>
            <w:r w:rsidR="00BB2A91">
              <w:rPr>
                <w:rFonts w:ascii="Arial Narrow" w:hAnsi="Arial Narrow"/>
                <w:sz w:val="20"/>
              </w:rPr>
              <w:t>themenrelevante Informationen und Daten aus Texten und Medien identifizieren, filtern, strukturieren und aufbereiten</w:t>
            </w:r>
            <w:r w:rsidR="00B326EA" w:rsidRPr="00DE34F5">
              <w:rPr>
                <w:rFonts w:ascii="Arial Narrow" w:hAnsi="Arial Narrow"/>
                <w:sz w:val="20"/>
              </w:rPr>
              <w:t xml:space="preserve"> </w:t>
            </w:r>
            <w:r w:rsidR="00611A3A" w:rsidRPr="00DE34F5">
              <w:rPr>
                <w:rFonts w:ascii="Arial Narrow" w:hAnsi="Arial Narrow"/>
                <w:sz w:val="20"/>
              </w:rPr>
              <w:t>(</w:t>
            </w:r>
            <w:r w:rsidR="00716F60" w:rsidRPr="00716F60">
              <w:rPr>
                <w:rFonts w:ascii="Arial Narrow" w:hAnsi="Arial Narrow"/>
                <w:sz w:val="20"/>
              </w:rPr>
              <w:t>u.a.</w:t>
            </w:r>
            <w:r w:rsidR="005E2724">
              <w:rPr>
                <w:rFonts w:ascii="Arial Narrow" w:hAnsi="Arial Narrow"/>
                <w:sz w:val="20"/>
              </w:rPr>
              <w:t xml:space="preserve"> </w:t>
            </w:r>
            <w:r w:rsidR="00BB2A91">
              <w:rPr>
                <w:rFonts w:ascii="Arial Narrow" w:hAnsi="Arial Narrow"/>
                <w:sz w:val="20"/>
              </w:rPr>
              <w:t>Zeitungs- und Zeitschriftenartikel, Diagramme, Videoclips</w:t>
            </w:r>
            <w:r w:rsidR="00611A3A" w:rsidRPr="00DE34F5">
              <w:rPr>
                <w:rFonts w:ascii="Arial Narrow" w:hAnsi="Arial Narrow"/>
                <w:sz w:val="20"/>
              </w:rPr>
              <w:t>)</w:t>
            </w:r>
          </w:p>
          <w:p w14:paraId="2B01EDC2" w14:textId="77777777" w:rsidR="00F15234" w:rsidRPr="00DE34F5" w:rsidRDefault="00F15234" w:rsidP="00716F60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DE34F5">
              <w:rPr>
                <w:rFonts w:ascii="Arial Narrow" w:hAnsi="Arial Narrow"/>
                <w:b/>
                <w:sz w:val="20"/>
              </w:rPr>
              <w:t>Zieltexte</w:t>
            </w:r>
            <w:r w:rsidRPr="00DE34F5">
              <w:rPr>
                <w:rFonts w:ascii="Arial Narrow" w:hAnsi="Arial Narrow"/>
                <w:sz w:val="20"/>
              </w:rPr>
              <w:t xml:space="preserve">: </w:t>
            </w:r>
            <w:r w:rsidR="00BB2A91">
              <w:rPr>
                <w:rFonts w:ascii="Arial Narrow" w:hAnsi="Arial Narrow"/>
                <w:sz w:val="20"/>
              </w:rPr>
              <w:t>Arbeitsergebnisse mithilfe von digitalen Medien adressatengerecht gestalten und präsentieren; unter Einsatz produktionsorientierter Verfahren digitale Texte und Medienprodukte erstellen (</w:t>
            </w:r>
            <w:r w:rsidR="00716F60">
              <w:rPr>
                <w:rFonts w:ascii="Arial Narrow" w:hAnsi="Arial Narrow"/>
                <w:sz w:val="20"/>
              </w:rPr>
              <w:t>digital gestützte Präsentationen</w:t>
            </w:r>
            <w:r w:rsidR="00BB2A91">
              <w:rPr>
                <w:rFonts w:ascii="Arial Narrow" w:hAnsi="Arial Narrow"/>
                <w:sz w:val="20"/>
              </w:rPr>
              <w:t>)</w:t>
            </w:r>
          </w:p>
        </w:tc>
      </w:tr>
      <w:tr w:rsidR="00F15234" w:rsidRPr="009F31E1" w14:paraId="0E83775D" w14:textId="77777777">
        <w:tc>
          <w:tcPr>
            <w:tcW w:w="9778" w:type="dxa"/>
            <w:shd w:val="clear" w:color="auto" w:fill="D9D9D9"/>
          </w:tcPr>
          <w:p w14:paraId="3522AE3F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Sprachlernkompetenz</w:t>
            </w:r>
          </w:p>
        </w:tc>
      </w:tr>
      <w:tr w:rsidR="00F15234" w:rsidRPr="009F31E1" w14:paraId="105AE5E4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6486E168" w14:textId="77777777" w:rsidR="00611A3A" w:rsidRPr="00DE34F5" w:rsidRDefault="00BB2A91" w:rsidP="00F1523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auch komplexere anwendungsorientierte Formen der Wortschatzarbeit einsetzen</w:t>
            </w:r>
          </w:p>
          <w:p w14:paraId="25823C95" w14:textId="77777777" w:rsidR="005C62FC" w:rsidRPr="00DE34F5" w:rsidRDefault="00BB2A91" w:rsidP="00203FC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auch digitale Hilfsmittel nutzen und erstellen, um analoge und digitale Texte und Arbeitsprodukte zu verstehen, zu erstellen und zu überarbeiten sowie das eigene Sprachenlernen zu unterstützen</w:t>
            </w:r>
          </w:p>
        </w:tc>
      </w:tr>
    </w:tbl>
    <w:p w14:paraId="0A32136E" w14:textId="77777777" w:rsidR="00F15234" w:rsidRPr="00FD3B5C" w:rsidRDefault="00F15234" w:rsidP="00F15234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9F31E1" w14:paraId="6EC1E71A" w14:textId="77777777">
        <w:tc>
          <w:tcPr>
            <w:tcW w:w="9778" w:type="dxa"/>
            <w:shd w:val="clear" w:color="auto" w:fill="auto"/>
          </w:tcPr>
          <w:p w14:paraId="3E200DE5" w14:textId="77777777" w:rsidR="00F15234" w:rsidRPr="00DE34F5" w:rsidRDefault="00F15234" w:rsidP="00F15234">
            <w:pPr>
              <w:spacing w:before="40" w:after="40" w:line="240" w:lineRule="auto"/>
              <w:rPr>
                <w:sz w:val="24"/>
                <w:szCs w:val="24"/>
              </w:rPr>
            </w:pPr>
            <w:r w:rsidRPr="00DE34F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Weitere </w:t>
            </w:r>
            <w:r w:rsidRPr="00DE34F5">
              <w:rPr>
                <w:rFonts w:ascii="Arial" w:hAnsi="Arial" w:cs="Arial"/>
                <w:b/>
                <w:bCs/>
                <w:sz w:val="24"/>
                <w:szCs w:val="24"/>
              </w:rPr>
              <w:t>Hinweise, Vereinbarungen und Absprachen</w:t>
            </w:r>
          </w:p>
        </w:tc>
      </w:tr>
      <w:tr w:rsidR="00F15234" w:rsidRPr="009F31E1" w14:paraId="53F0A7F1" w14:textId="77777777">
        <w:tc>
          <w:tcPr>
            <w:tcW w:w="9778" w:type="dxa"/>
            <w:shd w:val="clear" w:color="auto" w:fill="auto"/>
          </w:tcPr>
          <w:p w14:paraId="1FCBB347" w14:textId="77777777" w:rsidR="00F15234" w:rsidRPr="00DE34F5" w:rsidRDefault="00F15234" w:rsidP="00F1523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DE34F5">
              <w:rPr>
                <w:rFonts w:ascii="Arial Narrow" w:hAnsi="Arial Narrow"/>
                <w:b/>
                <w:sz w:val="20"/>
                <w:szCs w:val="20"/>
              </w:rPr>
              <w:t>Leistungsüberprüfung</w:t>
            </w:r>
            <w:r w:rsidRPr="00DE34F5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A4310F" w:rsidRPr="00A81961">
              <w:rPr>
                <w:rFonts w:ascii="Arial Narrow" w:hAnsi="Arial Narrow"/>
                <w:bCs/>
                <w:sz w:val="20"/>
                <w:szCs w:val="20"/>
              </w:rPr>
              <w:t>zweiteilige Klassenarbeit mit den Schwerpunkten Leseverstehen (auf der Grundlage eines Diagramms) und Schreiben (</w:t>
            </w:r>
            <w:r w:rsidR="0072271E" w:rsidRPr="00A81961">
              <w:rPr>
                <w:rFonts w:ascii="Arial Narrow" w:hAnsi="Arial Narrow"/>
                <w:bCs/>
                <w:sz w:val="20"/>
                <w:szCs w:val="20"/>
              </w:rPr>
              <w:t>Stellungnahme</w:t>
            </w:r>
            <w:r w:rsidR="00A4310F" w:rsidRPr="00A81961"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  <w:p w14:paraId="64A974BF" w14:textId="77777777" w:rsidR="00B326EA" w:rsidRPr="00003D9D" w:rsidRDefault="00F15234" w:rsidP="00003D9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Medienbildung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: </w:t>
            </w:r>
            <w:r w:rsidR="00003D9D" w:rsidRPr="00003D9D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themenrelevante Informationen und Daten aus Medienangeboten</w:t>
            </w:r>
            <w:r w:rsidR="00003D9D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(u.a. durch Online-Recherche)</w:t>
            </w:r>
            <w:r w:rsidR="00003D9D" w:rsidRPr="00003D9D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filtern, strukturieren, umwandeln und aufbereiten (</w:t>
            </w:r>
            <w:r w:rsidR="00003D9D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vgl. </w:t>
            </w:r>
            <w:r w:rsidR="00003D9D" w:rsidRPr="00003D9D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MKR 2.2)</w:t>
            </w:r>
          </w:p>
        </w:tc>
      </w:tr>
    </w:tbl>
    <w:p w14:paraId="5267993F" w14:textId="77777777" w:rsidR="00AD7E6F" w:rsidRDefault="00AD7E6F" w:rsidP="00010BEE"/>
    <w:sectPr w:rsidR="00AD7E6F" w:rsidSect="001F2D7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1CA"/>
    <w:multiLevelType w:val="hybridMultilevel"/>
    <w:tmpl w:val="86F84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92653"/>
    <w:multiLevelType w:val="hybridMultilevel"/>
    <w:tmpl w:val="0466F6A6"/>
    <w:lvl w:ilvl="0" w:tplc="D2C45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76513"/>
    <w:multiLevelType w:val="hybridMultilevel"/>
    <w:tmpl w:val="81981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34"/>
    <w:rsid w:val="00003D9D"/>
    <w:rsid w:val="00010BEE"/>
    <w:rsid w:val="0002012B"/>
    <w:rsid w:val="00027730"/>
    <w:rsid w:val="000330B3"/>
    <w:rsid w:val="0005046D"/>
    <w:rsid w:val="0006291C"/>
    <w:rsid w:val="00084D24"/>
    <w:rsid w:val="000C2B66"/>
    <w:rsid w:val="000D6066"/>
    <w:rsid w:val="000D79BF"/>
    <w:rsid w:val="001F2D7F"/>
    <w:rsid w:val="00203FC5"/>
    <w:rsid w:val="00206177"/>
    <w:rsid w:val="00263B6F"/>
    <w:rsid w:val="0028170C"/>
    <w:rsid w:val="00314EE7"/>
    <w:rsid w:val="00383442"/>
    <w:rsid w:val="00427F64"/>
    <w:rsid w:val="0045202D"/>
    <w:rsid w:val="004C1275"/>
    <w:rsid w:val="00540ED7"/>
    <w:rsid w:val="00554F80"/>
    <w:rsid w:val="005755DD"/>
    <w:rsid w:val="00586566"/>
    <w:rsid w:val="005A5A3E"/>
    <w:rsid w:val="005C449E"/>
    <w:rsid w:val="005C62FC"/>
    <w:rsid w:val="005C7B74"/>
    <w:rsid w:val="005E2724"/>
    <w:rsid w:val="00611A3A"/>
    <w:rsid w:val="0062660A"/>
    <w:rsid w:val="0064278D"/>
    <w:rsid w:val="006E457F"/>
    <w:rsid w:val="006F0786"/>
    <w:rsid w:val="00703C82"/>
    <w:rsid w:val="00716F60"/>
    <w:rsid w:val="0072271E"/>
    <w:rsid w:val="007264C1"/>
    <w:rsid w:val="007460BD"/>
    <w:rsid w:val="008338A3"/>
    <w:rsid w:val="008A7C7D"/>
    <w:rsid w:val="0092123B"/>
    <w:rsid w:val="00971FED"/>
    <w:rsid w:val="009F31E1"/>
    <w:rsid w:val="00A1494C"/>
    <w:rsid w:val="00A4310F"/>
    <w:rsid w:val="00A81961"/>
    <w:rsid w:val="00A9561C"/>
    <w:rsid w:val="00AD7E6F"/>
    <w:rsid w:val="00B326EA"/>
    <w:rsid w:val="00B657F5"/>
    <w:rsid w:val="00BA2763"/>
    <w:rsid w:val="00BB2A91"/>
    <w:rsid w:val="00C056D8"/>
    <w:rsid w:val="00C30F50"/>
    <w:rsid w:val="00CA5574"/>
    <w:rsid w:val="00CC4AC7"/>
    <w:rsid w:val="00CD0D91"/>
    <w:rsid w:val="00D426CE"/>
    <w:rsid w:val="00D44C64"/>
    <w:rsid w:val="00D87867"/>
    <w:rsid w:val="00DD5968"/>
    <w:rsid w:val="00DE34F5"/>
    <w:rsid w:val="00DF51B0"/>
    <w:rsid w:val="00E378D6"/>
    <w:rsid w:val="00E50D99"/>
    <w:rsid w:val="00EA54D2"/>
    <w:rsid w:val="00EB2E1F"/>
    <w:rsid w:val="00F15234"/>
    <w:rsid w:val="00F36FA4"/>
    <w:rsid w:val="00F43817"/>
    <w:rsid w:val="00F805BB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6ABB"/>
  <w15:chartTrackingRefBased/>
  <w15:docId w15:val="{294E47CB-B3BC-4E80-8FBE-EF1BE251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F152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5234"/>
    <w:pPr>
      <w:spacing w:after="160" w:line="259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15234"/>
    <w:rPr>
      <w:rFonts w:ascii="Calibri" w:eastAsia="Calibri" w:hAnsi="Calibri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15234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5234"/>
    <w:pPr>
      <w:spacing w:after="200" w:line="240" w:lineRule="auto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15234"/>
    <w:rPr>
      <w:rFonts w:ascii="Calibri" w:eastAsia="Calibri" w:hAnsi="Calibri" w:cs="Times New Roman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206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3376</Characters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2020-01-17T09:43:00Z</dcterms:created>
  <dcterms:modified xsi:type="dcterms:W3CDTF">2020-01-17T09:43:00Z</dcterms:modified>
</cp:coreProperties>
</file>