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E9" w:rsidRPr="008715E9" w:rsidRDefault="008715E9" w:rsidP="008715E9">
      <w:pPr>
        <w:spacing w:after="120"/>
        <w:rPr>
          <w:b/>
          <w:bCs/>
          <w:szCs w:val="24"/>
        </w:rPr>
      </w:pPr>
      <w:r w:rsidRPr="008715E9">
        <w:rPr>
          <w:b/>
          <w:szCs w:val="24"/>
        </w:rPr>
        <w:t>Anl</w:t>
      </w:r>
      <w:r w:rsidR="00A41DF0">
        <w:rPr>
          <w:b/>
          <w:szCs w:val="24"/>
        </w:rPr>
        <w:t>a</w:t>
      </w:r>
      <w:r w:rsidRPr="008715E9">
        <w:rPr>
          <w:b/>
          <w:szCs w:val="24"/>
        </w:rPr>
        <w:t>g</w:t>
      </w:r>
      <w:r w:rsidR="00A41DF0">
        <w:rPr>
          <w:b/>
          <w:szCs w:val="24"/>
        </w:rPr>
        <w:t>e</w:t>
      </w:r>
      <w:r w:rsidRPr="008715E9">
        <w:rPr>
          <w:b/>
          <w:szCs w:val="24"/>
        </w:rPr>
        <w:t xml:space="preserve"> zu Modul FS Philosophie: </w:t>
      </w:r>
      <w:r w:rsidRPr="008715E9">
        <w:rPr>
          <w:b/>
          <w:bCs/>
          <w:szCs w:val="24"/>
        </w:rPr>
        <w:t>Diagnose bzw. Leistungsbewertung durch Übe</w:t>
      </w:r>
      <w:r w:rsidRPr="008715E9">
        <w:rPr>
          <w:b/>
          <w:bCs/>
          <w:szCs w:val="24"/>
        </w:rPr>
        <w:t>r</w:t>
      </w:r>
      <w:r w:rsidRPr="008715E9">
        <w:rPr>
          <w:b/>
          <w:bCs/>
          <w:szCs w:val="24"/>
        </w:rPr>
        <w:t xml:space="preserve">prüfungsformen  </w:t>
      </w:r>
    </w:p>
    <w:p w:rsidR="008715E9" w:rsidRDefault="008715E9" w:rsidP="00EA36D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2763"/>
        <w:gridCol w:w="4252"/>
        <w:gridCol w:w="1949"/>
      </w:tblGrid>
      <w:tr w:rsidR="00EA36D9" w:rsidTr="00BE7DB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D9" w:rsidRDefault="00EA36D9">
            <w:pPr>
              <w:rPr>
                <w:b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D9" w:rsidRDefault="00EA36D9">
            <w:pPr>
              <w:rPr>
                <w:b/>
              </w:rPr>
            </w:pPr>
            <w:r>
              <w:rPr>
                <w:b/>
              </w:rPr>
              <w:t>Überprüfungsform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D9" w:rsidRDefault="00EA36D9">
            <w:pPr>
              <w:rPr>
                <w:b/>
              </w:rPr>
            </w:pPr>
            <w:r>
              <w:rPr>
                <w:b/>
              </w:rPr>
              <w:t>Kurzbeschreibung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D9" w:rsidRDefault="00EA36D9">
            <w:pPr>
              <w:rPr>
                <w:b/>
              </w:rPr>
            </w:pPr>
          </w:p>
        </w:tc>
      </w:tr>
      <w:tr w:rsidR="00EA36D9" w:rsidTr="00BE7DB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D9" w:rsidRDefault="00EA36D9">
            <w:r>
              <w:t>A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D9" w:rsidRDefault="00EA36D9">
            <w:r>
              <w:t>Erfassung und Darl</w:t>
            </w:r>
            <w:r>
              <w:t>e</w:t>
            </w:r>
            <w:r>
              <w:t>gung eines philosoph</w:t>
            </w:r>
            <w:r>
              <w:t>i</w:t>
            </w:r>
            <w:r>
              <w:t>schen Problems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D9" w:rsidRDefault="00EA36D9">
            <w:r>
              <w:t>Die Schülerinnen und Schüler erfa</w:t>
            </w:r>
            <w:r>
              <w:t>s</w:t>
            </w:r>
            <w:r>
              <w:t xml:space="preserve">sen auf der Grundlage der Analyse eines Fallbeispiels bzw. eines </w:t>
            </w:r>
            <w:proofErr w:type="spellStart"/>
            <w:r>
              <w:t>pr</w:t>
            </w:r>
            <w:r>
              <w:t>ä</w:t>
            </w:r>
            <w:r>
              <w:t>sentativen</w:t>
            </w:r>
            <w:proofErr w:type="spellEnd"/>
            <w:r>
              <w:t xml:space="preserve"> oder diskursiven Materials ein philosophisches Problem, expl</w:t>
            </w:r>
            <w:r>
              <w:t>i</w:t>
            </w:r>
            <w:r>
              <w:t>zieren es und ordnen es ggf. in einen umfassenderen fachlichen Kontext ein.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D9" w:rsidRDefault="00EA36D9">
            <w:r>
              <w:t>SK 1, MK 2</w:t>
            </w:r>
          </w:p>
        </w:tc>
      </w:tr>
      <w:tr w:rsidR="00EA36D9" w:rsidTr="00BE7DB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D9" w:rsidRDefault="00EA36D9">
            <w:r>
              <w:t>B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D9" w:rsidRDefault="00EA36D9">
            <w:r>
              <w:t>Erörterung eines phil</w:t>
            </w:r>
            <w:r>
              <w:t>o</w:t>
            </w:r>
            <w:r>
              <w:t xml:space="preserve">sophischen Problems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D9" w:rsidRDefault="00EA36D9">
            <w:r>
              <w:t>Die Schülerinnen und Schüler erö</w:t>
            </w:r>
            <w:r>
              <w:t>r</w:t>
            </w:r>
            <w:r>
              <w:t>tern ein philosophisches Problem mit  Materialgrundlage (z.B. Texterört</w:t>
            </w:r>
            <w:r>
              <w:t>e</w:t>
            </w:r>
            <w:r>
              <w:t>rung) oder ohne Materialgrundlage (z.B. Essay), indem sie das Für und Wider argumentativ abwägen und auf dieser Grundlage eine eigene Posit</w:t>
            </w:r>
            <w:r>
              <w:t>i</w:t>
            </w:r>
            <w:r>
              <w:t>on entwickeln.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D9" w:rsidRDefault="00EA36D9" w:rsidP="00EA36D9">
            <w:r>
              <w:t xml:space="preserve">SK 2, UK 5, MK </w:t>
            </w:r>
            <w:r w:rsidR="00DF56C9">
              <w:t xml:space="preserve">6, MK </w:t>
            </w:r>
            <w:r>
              <w:t>8, MK 13</w:t>
            </w:r>
          </w:p>
        </w:tc>
      </w:tr>
      <w:tr w:rsidR="00EA36D9" w:rsidTr="00BE7DB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D9" w:rsidRDefault="00EA36D9">
            <w:r>
              <w:t>C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D9" w:rsidRDefault="00EA36D9">
            <w:r>
              <w:t xml:space="preserve">Diskursive oder </w:t>
            </w:r>
            <w:proofErr w:type="spellStart"/>
            <w:r>
              <w:t>präse</w:t>
            </w:r>
            <w:r>
              <w:t>n</w:t>
            </w:r>
            <w:r>
              <w:t>tative</w:t>
            </w:r>
            <w:proofErr w:type="spellEnd"/>
            <w:r>
              <w:t xml:space="preserve"> Darstellung ph</w:t>
            </w:r>
            <w:r>
              <w:t>i</w:t>
            </w:r>
            <w:r>
              <w:t>losophischer Sachz</w:t>
            </w:r>
            <w:r>
              <w:t>u</w:t>
            </w:r>
            <w:r>
              <w:t>sammenhänge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D9" w:rsidRDefault="00EA36D9">
            <w:r>
              <w:t>Die Schülerinnen und Schüler stellen philosophische Sachzusammenhä</w:t>
            </w:r>
            <w:r>
              <w:t>n</w:t>
            </w:r>
            <w:r>
              <w:t>ge dar, indem sie diese</w:t>
            </w:r>
            <w:r>
              <w:rPr>
                <w:color w:val="FF0000"/>
              </w:rPr>
              <w:t xml:space="preserve"> </w:t>
            </w:r>
            <w:r>
              <w:t>in diskursiver Gestaltung (z.B. Strukturskizze, L</w:t>
            </w:r>
            <w:r>
              <w:t>e</w:t>
            </w:r>
            <w:r>
              <w:t>serbrief; Interview) oder in künstler</w:t>
            </w:r>
            <w:r>
              <w:t>i</w:t>
            </w:r>
            <w:r>
              <w:t>scher Gestaltung (z.B. bildliche oder szenische Darstellung, die diskursiv ergänzt bzw. kommentiert wird) zum Ausdruck bringen.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D9" w:rsidRDefault="00EA36D9" w:rsidP="00EA36D9">
            <w:r>
              <w:t>MK 10, MK 11</w:t>
            </w:r>
          </w:p>
        </w:tc>
      </w:tr>
      <w:tr w:rsidR="00EA36D9" w:rsidTr="00BE7DB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D9" w:rsidRDefault="00EA36D9">
            <w:r>
              <w:t>D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D9" w:rsidRDefault="00EA36D9">
            <w:r>
              <w:t>Bestimmung und Expl</w:t>
            </w:r>
            <w:r>
              <w:t>i</w:t>
            </w:r>
            <w:r>
              <w:t xml:space="preserve">kation philosophischer Begriffe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D9" w:rsidRDefault="00EA36D9">
            <w:r>
              <w:t>Die Schülerinnen und Schüler b</w:t>
            </w:r>
            <w:r>
              <w:t>e</w:t>
            </w:r>
            <w:r>
              <w:t>stimmen grundlegende philosoph</w:t>
            </w:r>
            <w:r>
              <w:t>i</w:t>
            </w:r>
            <w:r>
              <w:t>sche Begriffe, indem sie deren Merkmale darlegen, sie von anderen Begriffen abgrenzen und sie in A</w:t>
            </w:r>
            <w:r>
              <w:t>n</w:t>
            </w:r>
            <w:r>
              <w:t>wendungskontexten entfalten.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D9" w:rsidRDefault="00EA36D9">
            <w:r>
              <w:t>SK 4, MK 7</w:t>
            </w:r>
          </w:p>
        </w:tc>
      </w:tr>
      <w:tr w:rsidR="00EA36D9" w:rsidTr="00BE7DB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D9" w:rsidRDefault="00EA36D9">
            <w:r>
              <w:t>E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D9" w:rsidRDefault="00EA36D9">
            <w:r>
              <w:t>Analyse und Interpret</w:t>
            </w:r>
            <w:r>
              <w:t>a</w:t>
            </w:r>
            <w:r>
              <w:t>tion eines philosoph</w:t>
            </w:r>
            <w:r>
              <w:t>i</w:t>
            </w:r>
            <w:r>
              <w:t>schen Textes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D9" w:rsidRDefault="00EA36D9">
            <w:r>
              <w:t>Die Schülerinnen und Schüler anal</w:t>
            </w:r>
            <w:r>
              <w:t>y</w:t>
            </w:r>
            <w:r>
              <w:t>sieren einen philosophischen Text, indem sie das diesem zugrundeli</w:t>
            </w:r>
            <w:r>
              <w:t>e</w:t>
            </w:r>
            <w:r>
              <w:t>gende Problem bzw. Anliegen sowie die zentrale These ermitteln, den g</w:t>
            </w:r>
            <w:r>
              <w:t>e</w:t>
            </w:r>
            <w:r>
              <w:t>danklichen Aufbau bzw. die Arg</w:t>
            </w:r>
            <w:r>
              <w:t>u</w:t>
            </w:r>
            <w:r>
              <w:t>mentationsstrukturen darstellen und  wesentliche Aussagen interpretieren.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D9" w:rsidRDefault="00EA36D9">
            <w:r>
              <w:t xml:space="preserve">SK 3, MK 3, MK 4, MK 5, </w:t>
            </w:r>
            <w:r w:rsidR="00DF56C9">
              <w:t>MK 12</w:t>
            </w:r>
          </w:p>
        </w:tc>
      </w:tr>
      <w:tr w:rsidR="00EA36D9" w:rsidTr="00BE7DB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D9" w:rsidRDefault="00EA36D9">
            <w:pPr>
              <w:rPr>
                <w:color w:val="000000"/>
              </w:rPr>
            </w:pPr>
            <w:r>
              <w:rPr>
                <w:color w:val="000000"/>
              </w:rPr>
              <w:t>F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D9" w:rsidRDefault="00EA36D9">
            <w:pPr>
              <w:rPr>
                <w:color w:val="000000"/>
              </w:rPr>
            </w:pPr>
            <w:r>
              <w:rPr>
                <w:color w:val="000000"/>
              </w:rPr>
              <w:t>Rekonstruktion phil</w:t>
            </w:r>
            <w:r>
              <w:rPr>
                <w:color w:val="000000"/>
              </w:rPr>
              <w:t>o</w:t>
            </w:r>
            <w:r>
              <w:rPr>
                <w:color w:val="000000"/>
              </w:rPr>
              <w:t>sophischer Positionen und Denkmodelle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D9" w:rsidRDefault="00EA36D9">
            <w:pPr>
              <w:rPr>
                <w:color w:val="000000"/>
              </w:rPr>
            </w:pPr>
            <w:r>
              <w:rPr>
                <w:color w:val="000000"/>
              </w:rPr>
              <w:t>Die Schülerinnen und Schüler reko</w:t>
            </w:r>
            <w:r>
              <w:rPr>
                <w:color w:val="000000"/>
              </w:rPr>
              <w:t>n</w:t>
            </w:r>
            <w:r>
              <w:rPr>
                <w:color w:val="000000"/>
              </w:rPr>
              <w:t>struieren philosophische Positionen und Denkmodelle in ihren wesentl</w:t>
            </w:r>
            <w:r>
              <w:rPr>
                <w:color w:val="000000"/>
              </w:rPr>
              <w:t>i</w:t>
            </w:r>
            <w:r>
              <w:rPr>
                <w:color w:val="000000"/>
              </w:rPr>
              <w:t>chen gedanklichen und argumentat</w:t>
            </w:r>
            <w:r>
              <w:rPr>
                <w:color w:val="000000"/>
              </w:rPr>
              <w:t>i</w:t>
            </w:r>
            <w:r>
              <w:rPr>
                <w:color w:val="000000"/>
              </w:rPr>
              <w:t>ven Schritten unter Fokussierung auf eine vorliegende Problemstellung.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D9" w:rsidRDefault="00DF56C9">
            <w:pPr>
              <w:rPr>
                <w:color w:val="000000"/>
              </w:rPr>
            </w:pPr>
            <w:r>
              <w:rPr>
                <w:color w:val="000000"/>
              </w:rPr>
              <w:t>SK 3, MK 8, MK 10</w:t>
            </w:r>
          </w:p>
        </w:tc>
      </w:tr>
      <w:tr w:rsidR="00EA36D9" w:rsidTr="00BE7DB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D9" w:rsidRDefault="00EA36D9">
            <w:r>
              <w:lastRenderedPageBreak/>
              <w:t>G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D9" w:rsidRDefault="00EA36D9">
            <w:r>
              <w:t>Darstellung philosoph</w:t>
            </w:r>
            <w:r>
              <w:t>i</w:t>
            </w:r>
            <w:r>
              <w:t>scher Positionen in Anwendungskontexten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D9" w:rsidRDefault="00EA36D9">
            <w:r>
              <w:t>Die Schülerinnen und Schüler stellen philosophische Positionen in Anwe</w:t>
            </w:r>
            <w:r>
              <w:t>n</w:t>
            </w:r>
            <w:r>
              <w:t>dungskontexten dar, indem sie diese in neuen lebensweltlichen Zusa</w:t>
            </w:r>
            <w:r>
              <w:t>m</w:t>
            </w:r>
            <w:r>
              <w:t>menhängen darlegen und ihren die</w:t>
            </w:r>
            <w:r>
              <w:t>s</w:t>
            </w:r>
            <w:r>
              <w:t xml:space="preserve">bezüglichen Problemlösungsbeitrag aufzeigen.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D9" w:rsidRDefault="00DF56C9">
            <w:r>
              <w:t>SK 3, SK 5, MK 8, MK 10</w:t>
            </w:r>
          </w:p>
        </w:tc>
      </w:tr>
      <w:tr w:rsidR="00EA36D9" w:rsidTr="00BE7DB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D9" w:rsidRDefault="00EA36D9">
            <w:r>
              <w:t>H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D9" w:rsidRDefault="00EA36D9">
            <w:r>
              <w:t>Vergleich philosoph</w:t>
            </w:r>
            <w:r>
              <w:t>i</w:t>
            </w:r>
            <w:r>
              <w:t>scher Texte bzw. Pos</w:t>
            </w:r>
            <w:r>
              <w:t>i</w:t>
            </w:r>
            <w:r>
              <w:t>tionen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D9" w:rsidRDefault="00EA36D9">
            <w:r>
              <w:t>Die Schülerinnen und Schüler ve</w:t>
            </w:r>
            <w:r>
              <w:t>r</w:t>
            </w:r>
            <w:r>
              <w:t>gleichen philosophische Texte bzw. Positionen, indem sie gedankliche Bezüge zwischen ihnen herstellen, sie voneinander abgrenzen und sie in umfassendere fachliche Kontexte einordnen.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D9" w:rsidRDefault="00DF56C9">
            <w:r>
              <w:t>SK 6, MK 10       (MK 3 – 5)</w:t>
            </w:r>
          </w:p>
        </w:tc>
      </w:tr>
      <w:tr w:rsidR="00EA36D9" w:rsidTr="00BE7DB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D9" w:rsidRDefault="00EA36D9">
            <w:r>
              <w:t>I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D9" w:rsidRDefault="00EA36D9">
            <w:r>
              <w:t>Beurteilung philosoph</w:t>
            </w:r>
            <w:r>
              <w:t>i</w:t>
            </w:r>
            <w:r>
              <w:t>scher Texte und</w:t>
            </w:r>
            <w:r>
              <w:rPr>
                <w:color w:val="FF0000"/>
              </w:rPr>
              <w:t xml:space="preserve"> </w:t>
            </w:r>
            <w:r>
              <w:t>Posit</w:t>
            </w:r>
            <w:r>
              <w:t>i</w:t>
            </w:r>
            <w:r>
              <w:t>onen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D9" w:rsidRDefault="00EA36D9">
            <w:r>
              <w:t>Die Schülerinnen und Schüler beu</w:t>
            </w:r>
            <w:r>
              <w:t>r</w:t>
            </w:r>
            <w:r>
              <w:t>teilen philosophische Texte und</w:t>
            </w:r>
            <w:r>
              <w:rPr>
                <w:color w:val="FF0000"/>
              </w:rPr>
              <w:t xml:space="preserve"> </w:t>
            </w:r>
            <w:r>
              <w:t>Pos</w:t>
            </w:r>
            <w:r>
              <w:t>i</w:t>
            </w:r>
            <w:r>
              <w:t>tionen, indem sie deren Vorausse</w:t>
            </w:r>
            <w:r>
              <w:t>t</w:t>
            </w:r>
            <w:r>
              <w:t>zungen und Konsequenzen aufze</w:t>
            </w:r>
            <w:r>
              <w:t>i</w:t>
            </w:r>
            <w:r>
              <w:t>gen, ihre gedankliche bzw. argume</w:t>
            </w:r>
            <w:r>
              <w:t>n</w:t>
            </w:r>
            <w:r>
              <w:t>tative Konsistenz sowie ihre Tragf</w:t>
            </w:r>
            <w:r>
              <w:t>ä</w:t>
            </w:r>
            <w:r>
              <w:t>higkeit bewerten.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D9" w:rsidRDefault="00DF56C9" w:rsidP="00DF56C9">
            <w:r>
              <w:t>UK 2, UK 3, UK  4, MK 8</w:t>
            </w:r>
          </w:p>
        </w:tc>
      </w:tr>
    </w:tbl>
    <w:p w:rsidR="008A1380" w:rsidRDefault="008A1380" w:rsidP="00EA36D9">
      <w:bookmarkStart w:id="0" w:name="_GoBack"/>
      <w:bookmarkEnd w:id="0"/>
    </w:p>
    <w:sectPr w:rsidR="008A1380" w:rsidSect="00711433">
      <w:headerReference w:type="default" r:id="rId8"/>
      <w:footerReference w:type="default" r:id="rId9"/>
      <w:pgSz w:w="11906" w:h="16838"/>
      <w:pgMar w:top="851" w:right="1021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DB0" w:rsidRDefault="00B03DB0" w:rsidP="00A41DF0">
      <w:r>
        <w:separator/>
      </w:r>
    </w:p>
  </w:endnote>
  <w:endnote w:type="continuationSeparator" w:id="0">
    <w:p w:rsidR="00B03DB0" w:rsidRDefault="00B03DB0" w:rsidP="00A41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3304785"/>
      <w:docPartObj>
        <w:docPartGallery w:val="Page Numbers (Bottom of Page)"/>
        <w:docPartUnique/>
      </w:docPartObj>
    </w:sdtPr>
    <w:sdtContent>
      <w:p w:rsidR="00A41DF0" w:rsidRDefault="00A41DF0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41DF0" w:rsidRDefault="00A41DF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DB0" w:rsidRDefault="00B03DB0" w:rsidP="00A41DF0">
      <w:r>
        <w:separator/>
      </w:r>
    </w:p>
  </w:footnote>
  <w:footnote w:type="continuationSeparator" w:id="0">
    <w:p w:rsidR="00B03DB0" w:rsidRDefault="00B03DB0" w:rsidP="00A41D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DF0" w:rsidRPr="00A41DF0" w:rsidRDefault="00A41DF0" w:rsidP="00A41DF0">
    <w:pPr>
      <w:pStyle w:val="Kopfzeile"/>
      <w:jc w:val="center"/>
      <w:rPr>
        <w:rFonts w:eastAsia="Calibri"/>
        <w:i/>
        <w:szCs w:val="24"/>
        <w:lang w:eastAsia="en-US"/>
      </w:rPr>
    </w:pPr>
    <w:r w:rsidRPr="00A41DF0">
      <w:rPr>
        <w:rFonts w:eastAsia="Calibri"/>
        <w:i/>
        <w:szCs w:val="24"/>
        <w:lang w:eastAsia="en-US"/>
      </w:rPr>
      <w:t xml:space="preserve">(Neue) Kernlehrpläne für Gesellschaftswissenschaften an den </w:t>
    </w:r>
    <w:proofErr w:type="spellStart"/>
    <w:r w:rsidRPr="00A41DF0">
      <w:rPr>
        <w:rFonts w:eastAsia="Calibri"/>
        <w:b/>
        <w:i/>
        <w:szCs w:val="24"/>
        <w:lang w:eastAsia="en-US"/>
      </w:rPr>
      <w:t>ZfsL</w:t>
    </w:r>
    <w:proofErr w:type="spellEnd"/>
  </w:p>
  <w:p w:rsidR="00A41DF0" w:rsidRPr="00A41DF0" w:rsidRDefault="00A41DF0" w:rsidP="00A41DF0">
    <w:pPr>
      <w:tabs>
        <w:tab w:val="center" w:pos="4536"/>
        <w:tab w:val="right" w:pos="9072"/>
      </w:tabs>
      <w:jc w:val="center"/>
      <w:rPr>
        <w:rFonts w:ascii="Perpetua" w:eastAsiaTheme="minorHAnsi" w:hAnsi="Perpetua" w:cstheme="minorBidi"/>
        <w:sz w:val="28"/>
        <w:szCs w:val="28"/>
        <w:lang w:eastAsia="en-US"/>
      </w:rPr>
    </w:pPr>
    <w:r w:rsidRPr="00A41DF0">
      <w:rPr>
        <w:rFonts w:eastAsia="Calibri"/>
        <w:i/>
        <w:szCs w:val="24"/>
        <w:lang w:eastAsia="en-US"/>
      </w:rPr>
      <w:t xml:space="preserve">Am Beispiel von: Fachseminar </w:t>
    </w:r>
    <w:r w:rsidRPr="00A41DF0">
      <w:rPr>
        <w:rFonts w:eastAsia="Calibri"/>
        <w:b/>
        <w:i/>
        <w:szCs w:val="24"/>
        <w:lang w:eastAsia="en-US"/>
      </w:rPr>
      <w:t>Philosophie</w:t>
    </w:r>
    <w:r w:rsidRPr="00A41DF0">
      <w:rPr>
        <w:rFonts w:eastAsia="Calibri"/>
        <w:i/>
        <w:szCs w:val="24"/>
        <w:lang w:eastAsia="en-US"/>
      </w:rPr>
      <w:t>, Sekundarstufe II</w:t>
    </w:r>
  </w:p>
  <w:p w:rsidR="00A41DF0" w:rsidRDefault="00A41DF0">
    <w:pPr>
      <w:pStyle w:val="Kopfzeile"/>
    </w:pPr>
  </w:p>
  <w:p w:rsidR="00A41DF0" w:rsidRDefault="00A41DF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05E8B"/>
    <w:multiLevelType w:val="hybridMultilevel"/>
    <w:tmpl w:val="D2FCCB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6713F0"/>
    <w:multiLevelType w:val="hybridMultilevel"/>
    <w:tmpl w:val="2FD09B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0E0000"/>
    <w:multiLevelType w:val="hybridMultilevel"/>
    <w:tmpl w:val="5B229A42"/>
    <w:lvl w:ilvl="0" w:tplc="0DC8F834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505D43AB"/>
    <w:multiLevelType w:val="hybridMultilevel"/>
    <w:tmpl w:val="98D466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6D9"/>
    <w:rsid w:val="0004788B"/>
    <w:rsid w:val="00062651"/>
    <w:rsid w:val="0011716E"/>
    <w:rsid w:val="002F226A"/>
    <w:rsid w:val="0031037B"/>
    <w:rsid w:val="0034598E"/>
    <w:rsid w:val="0043702C"/>
    <w:rsid w:val="004C7C95"/>
    <w:rsid w:val="005E77C4"/>
    <w:rsid w:val="00711433"/>
    <w:rsid w:val="007470D3"/>
    <w:rsid w:val="007A54D5"/>
    <w:rsid w:val="00827140"/>
    <w:rsid w:val="008715E9"/>
    <w:rsid w:val="008A1380"/>
    <w:rsid w:val="008F58D3"/>
    <w:rsid w:val="00A41DF0"/>
    <w:rsid w:val="00A54531"/>
    <w:rsid w:val="00A8666B"/>
    <w:rsid w:val="00AB28B2"/>
    <w:rsid w:val="00AD3E0A"/>
    <w:rsid w:val="00B03DB0"/>
    <w:rsid w:val="00B16B3D"/>
    <w:rsid w:val="00BE7DBC"/>
    <w:rsid w:val="00CC0509"/>
    <w:rsid w:val="00DA10ED"/>
    <w:rsid w:val="00DF56C9"/>
    <w:rsid w:val="00EA36D9"/>
    <w:rsid w:val="00EC304D"/>
    <w:rsid w:val="00F009B4"/>
    <w:rsid w:val="00F54896"/>
    <w:rsid w:val="00FA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A36D9"/>
    <w:pPr>
      <w:spacing w:after="0" w:line="240" w:lineRule="auto"/>
      <w:jc w:val="both"/>
    </w:pPr>
    <w:rPr>
      <w:rFonts w:ascii="Arial" w:eastAsia="Times New Roman" w:hAnsi="Arial" w:cs="Arial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1716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143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1433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41DF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1DF0"/>
    <w:rPr>
      <w:rFonts w:ascii="Arial" w:eastAsia="Times New Roman" w:hAnsi="Arial" w:cs="Arial"/>
      <w:sz w:val="24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41DF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1DF0"/>
    <w:rPr>
      <w:rFonts w:ascii="Arial" w:eastAsia="Times New Roman" w:hAnsi="Arial" w:cs="Arial"/>
      <w:sz w:val="24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A36D9"/>
    <w:pPr>
      <w:spacing w:after="0" w:line="240" w:lineRule="auto"/>
      <w:jc w:val="both"/>
    </w:pPr>
    <w:rPr>
      <w:rFonts w:ascii="Arial" w:eastAsia="Times New Roman" w:hAnsi="Arial" w:cs="Arial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1716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143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1433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41DF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1DF0"/>
    <w:rPr>
      <w:rFonts w:ascii="Arial" w:eastAsia="Times New Roman" w:hAnsi="Arial" w:cs="Arial"/>
      <w:sz w:val="24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41DF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1DF0"/>
    <w:rPr>
      <w:rFonts w:ascii="Arial" w:eastAsia="Times New Roman" w:hAnsi="Arial" w:cs="Arial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53D"/>
    <w:rsid w:val="00997211"/>
    <w:rsid w:val="00A1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0AC1593BB3B4FB5AB42989584AFBFD3">
    <w:name w:val="F0AC1593BB3B4FB5AB42989584AFBFD3"/>
    <w:rsid w:val="00A1253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0AC1593BB3B4FB5AB42989584AFBFD3">
    <w:name w:val="F0AC1593BB3B4FB5AB42989584AFBFD3"/>
    <w:rsid w:val="00A125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2579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Roland Henke</dc:creator>
  <cp:lastModifiedBy>Heike Hornbruch</cp:lastModifiedBy>
  <cp:revision>18</cp:revision>
  <cp:lastPrinted>2014-06-14T15:33:00Z</cp:lastPrinted>
  <dcterms:created xsi:type="dcterms:W3CDTF">2014-03-19T10:51:00Z</dcterms:created>
  <dcterms:modified xsi:type="dcterms:W3CDTF">2014-07-08T15:34:00Z</dcterms:modified>
</cp:coreProperties>
</file>